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2E59" w14:textId="1C8F4CF1" w:rsidR="007A0B67" w:rsidRPr="00063988" w:rsidRDefault="00A66E1C" w:rsidP="00640BDD">
      <w:pPr>
        <w:jc w:val="center"/>
        <w:rPr>
          <w:rFonts w:ascii="Calibri" w:hAnsi="Calibri" w:cs="Calibri"/>
          <w:b/>
          <w:sz w:val="22"/>
          <w:szCs w:val="22"/>
          <w:lang w:val="en-AU"/>
        </w:rPr>
      </w:pPr>
      <w:r w:rsidRPr="00063988">
        <w:rPr>
          <w:rFonts w:ascii="Calibri" w:hAnsi="Calibri" w:cs="Calibri"/>
          <w:b/>
          <w:sz w:val="22"/>
          <w:szCs w:val="22"/>
          <w:lang w:val="en-AU"/>
        </w:rPr>
        <w:t>JEUNESSE CHAPMAN</w:t>
      </w:r>
    </w:p>
    <w:p w14:paraId="4876CBCA" w14:textId="4C1AC0EF" w:rsidR="00BF1F22" w:rsidRPr="00063988" w:rsidRDefault="00BF1F22" w:rsidP="00640BDD">
      <w:pPr>
        <w:jc w:val="center"/>
        <w:rPr>
          <w:rFonts w:ascii="Calibri" w:hAnsi="Calibri" w:cs="Calibri"/>
          <w:b/>
          <w:sz w:val="22"/>
          <w:szCs w:val="22"/>
          <w:lang w:val="en-AU"/>
        </w:rPr>
      </w:pPr>
      <w:r w:rsidRPr="00063988">
        <w:rPr>
          <w:rFonts w:ascii="Calibri" w:hAnsi="Calibri" w:cs="Calibri"/>
          <w:b/>
          <w:sz w:val="22"/>
          <w:szCs w:val="22"/>
          <w:lang w:val="en-AU"/>
        </w:rPr>
        <w:t>Barrister</w:t>
      </w:r>
    </w:p>
    <w:p w14:paraId="41484622" w14:textId="109C7D7F" w:rsidR="00640BDD" w:rsidRPr="00063988" w:rsidRDefault="00E6487B" w:rsidP="00421F1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Frederick Jordan</w:t>
      </w:r>
      <w:r w:rsidR="00063988" w:rsidRPr="00063988">
        <w:rPr>
          <w:rFonts w:ascii="Calibri" w:hAnsi="Calibri" w:cs="Calibri"/>
          <w:sz w:val="22"/>
          <w:szCs w:val="22"/>
        </w:rPr>
        <w:t xml:space="preserve"> Chambers</w:t>
      </w:r>
    </w:p>
    <w:p w14:paraId="0CB74CA4" w14:textId="77777777" w:rsidR="009F64B8" w:rsidRPr="00063988" w:rsidRDefault="009F64B8" w:rsidP="00786135">
      <w:pPr>
        <w:rPr>
          <w:rFonts w:ascii="Calibri" w:hAnsi="Calibri" w:cs="Calibri"/>
          <w:sz w:val="22"/>
          <w:szCs w:val="22"/>
        </w:rPr>
      </w:pPr>
    </w:p>
    <w:p w14:paraId="0150171A" w14:textId="38C0EB0A" w:rsidR="00A66E1C" w:rsidRPr="00421F10" w:rsidRDefault="00A66E1C" w:rsidP="00421F10">
      <w:pPr>
        <w:jc w:val="center"/>
        <w:rPr>
          <w:rFonts w:ascii="Calibri" w:hAnsi="Calibri" w:cs="Calibri"/>
          <w:sz w:val="22"/>
          <w:szCs w:val="22"/>
        </w:rPr>
      </w:pPr>
      <w:r w:rsidRPr="00063988">
        <w:rPr>
          <w:rFonts w:ascii="Calibri" w:hAnsi="Calibri" w:cs="Calibri"/>
          <w:sz w:val="22"/>
          <w:szCs w:val="22"/>
        </w:rPr>
        <w:t xml:space="preserve">P 02 </w:t>
      </w:r>
      <w:r w:rsidR="00E6487B">
        <w:rPr>
          <w:rFonts w:ascii="Calibri" w:hAnsi="Calibri" w:cs="Calibri"/>
          <w:sz w:val="22"/>
          <w:szCs w:val="22"/>
        </w:rPr>
        <w:t>9229 7333</w:t>
      </w:r>
      <w:r w:rsidR="00640BDD" w:rsidRPr="00063988">
        <w:rPr>
          <w:rFonts w:ascii="Calibri" w:hAnsi="Calibri" w:cs="Calibri"/>
          <w:sz w:val="22"/>
          <w:szCs w:val="22"/>
        </w:rPr>
        <w:tab/>
      </w:r>
      <w:r w:rsidR="00640BDD" w:rsidRPr="00063988">
        <w:rPr>
          <w:rFonts w:ascii="Calibri" w:hAnsi="Calibri" w:cs="Calibri"/>
          <w:sz w:val="22"/>
          <w:szCs w:val="22"/>
        </w:rPr>
        <w:tab/>
      </w:r>
      <w:r w:rsidR="002B776D" w:rsidRPr="00063988">
        <w:rPr>
          <w:rFonts w:ascii="Calibri" w:hAnsi="Calibri" w:cs="Calibri"/>
          <w:sz w:val="22"/>
          <w:szCs w:val="22"/>
        </w:rPr>
        <w:t>M</w:t>
      </w:r>
      <w:r w:rsidR="002B556A" w:rsidRPr="00063988">
        <w:rPr>
          <w:rFonts w:ascii="Calibri" w:hAnsi="Calibri" w:cs="Calibri"/>
          <w:sz w:val="22"/>
          <w:szCs w:val="22"/>
        </w:rPr>
        <w:t xml:space="preserve"> 0418 211 584</w:t>
      </w:r>
      <w:r w:rsidR="00640BDD" w:rsidRPr="00063988">
        <w:rPr>
          <w:rFonts w:ascii="Calibri" w:hAnsi="Calibri" w:cs="Calibri"/>
          <w:sz w:val="22"/>
          <w:szCs w:val="22"/>
        </w:rPr>
        <w:tab/>
      </w:r>
      <w:r w:rsidRPr="00063988">
        <w:rPr>
          <w:rFonts w:ascii="Calibri" w:hAnsi="Calibri" w:cs="Calibri"/>
          <w:sz w:val="22"/>
          <w:szCs w:val="22"/>
          <w:lang w:val="en-AU"/>
        </w:rPr>
        <w:t>E chapman@</w:t>
      </w:r>
      <w:r w:rsidR="00E6487B">
        <w:rPr>
          <w:rFonts w:ascii="Calibri" w:hAnsi="Calibri" w:cs="Calibri"/>
          <w:sz w:val="22"/>
          <w:szCs w:val="22"/>
          <w:lang w:val="en-AU"/>
        </w:rPr>
        <w:t>fjc.net.au</w:t>
      </w:r>
    </w:p>
    <w:p w14:paraId="7892E8FA" w14:textId="77777777" w:rsidR="009F64B8" w:rsidRPr="00063988" w:rsidRDefault="009F64B8" w:rsidP="00786135">
      <w:pPr>
        <w:rPr>
          <w:rFonts w:ascii="Calibri" w:hAnsi="Calibri" w:cs="Calibri"/>
          <w:b/>
          <w:sz w:val="22"/>
          <w:szCs w:val="22"/>
          <w:lang w:val="en-AU"/>
        </w:rPr>
      </w:pPr>
    </w:p>
    <w:p w14:paraId="3700C94A" w14:textId="77777777" w:rsidR="007A0B67" w:rsidRPr="00063988" w:rsidRDefault="007A0B67" w:rsidP="00786135">
      <w:pPr>
        <w:rPr>
          <w:rFonts w:ascii="Calibri" w:hAnsi="Calibri" w:cs="Calibri"/>
          <w:b/>
          <w:sz w:val="22"/>
          <w:szCs w:val="22"/>
          <w:lang w:val="en-AU"/>
        </w:rPr>
      </w:pPr>
      <w:r w:rsidRPr="00063988">
        <w:rPr>
          <w:rFonts w:ascii="Calibri" w:hAnsi="Calibri" w:cs="Calibri"/>
          <w:b/>
          <w:sz w:val="22"/>
          <w:szCs w:val="22"/>
          <w:lang w:val="en-AU"/>
        </w:rPr>
        <w:t>Tertiary Qualifications</w:t>
      </w:r>
    </w:p>
    <w:p w14:paraId="3436F4AD" w14:textId="5DAA1079" w:rsidR="00AD2EED" w:rsidRPr="00063988" w:rsidRDefault="00B22945" w:rsidP="00786135">
      <w:pPr>
        <w:rPr>
          <w:rFonts w:ascii="Calibri" w:hAnsi="Calibri" w:cs="Calibri"/>
          <w:sz w:val="22"/>
          <w:szCs w:val="22"/>
          <w:lang w:val="en-AU"/>
        </w:rPr>
      </w:pPr>
      <w:r w:rsidRPr="00063988">
        <w:rPr>
          <w:rFonts w:ascii="Calibri" w:hAnsi="Calibri" w:cs="Calibri"/>
          <w:sz w:val="22"/>
          <w:szCs w:val="22"/>
          <w:lang w:val="en-AU"/>
        </w:rPr>
        <w:t>Diploma of Law,</w:t>
      </w:r>
      <w:r w:rsidR="004F25DA" w:rsidRPr="00063988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A66E1C" w:rsidRPr="00063988">
        <w:rPr>
          <w:rFonts w:ascii="Calibri" w:hAnsi="Calibri" w:cs="Calibri"/>
          <w:sz w:val="22"/>
          <w:szCs w:val="22"/>
          <w:lang w:val="en-AU"/>
        </w:rPr>
        <w:t>Legal Practitioners</w:t>
      </w:r>
      <w:r w:rsidRPr="00063988">
        <w:rPr>
          <w:rFonts w:ascii="Calibri" w:hAnsi="Calibri" w:cs="Calibri"/>
          <w:sz w:val="22"/>
          <w:szCs w:val="22"/>
          <w:lang w:val="en-AU"/>
        </w:rPr>
        <w:t xml:space="preserve"> Admission Board</w:t>
      </w:r>
      <w:r w:rsidR="00063988" w:rsidRPr="00063988">
        <w:rPr>
          <w:rFonts w:ascii="Calibri" w:hAnsi="Calibri" w:cs="Calibri"/>
          <w:sz w:val="22"/>
          <w:szCs w:val="22"/>
          <w:lang w:val="en-AU"/>
        </w:rPr>
        <w:t xml:space="preserve"> (LPAB)</w:t>
      </w:r>
      <w:r w:rsidR="000B62FE">
        <w:rPr>
          <w:rFonts w:ascii="Calibri" w:hAnsi="Calibri" w:cs="Calibri"/>
          <w:sz w:val="22"/>
          <w:szCs w:val="22"/>
          <w:lang w:val="en-AU"/>
        </w:rPr>
        <w:tab/>
      </w:r>
      <w:r w:rsidR="00063988" w:rsidRPr="00063988">
        <w:rPr>
          <w:rFonts w:ascii="Calibri" w:hAnsi="Calibri" w:cs="Calibri"/>
          <w:sz w:val="22"/>
          <w:szCs w:val="22"/>
          <w:lang w:val="en-AU"/>
        </w:rPr>
        <w:tab/>
      </w:r>
      <w:r w:rsidR="002B556A" w:rsidRPr="00063988">
        <w:rPr>
          <w:rFonts w:ascii="Calibri" w:hAnsi="Calibri" w:cs="Calibri"/>
          <w:sz w:val="22"/>
          <w:szCs w:val="22"/>
          <w:lang w:val="en-AU"/>
        </w:rPr>
        <w:t>1996</w:t>
      </w:r>
    </w:p>
    <w:p w14:paraId="3B554DB1" w14:textId="77777777" w:rsidR="00AD2EED" w:rsidRPr="00063988" w:rsidRDefault="00AD2EED" w:rsidP="00786135">
      <w:pPr>
        <w:rPr>
          <w:rFonts w:ascii="Calibri" w:hAnsi="Calibri" w:cs="Calibri"/>
          <w:sz w:val="22"/>
          <w:szCs w:val="22"/>
          <w:lang w:val="en-AU"/>
        </w:rPr>
      </w:pPr>
    </w:p>
    <w:p w14:paraId="50872D60" w14:textId="78772EE8" w:rsidR="007A0B67" w:rsidRPr="00063988" w:rsidRDefault="00D45CC8" w:rsidP="00786135">
      <w:pPr>
        <w:rPr>
          <w:rFonts w:ascii="Calibri" w:hAnsi="Calibri" w:cs="Calibri"/>
          <w:b/>
          <w:sz w:val="22"/>
          <w:szCs w:val="22"/>
          <w:lang w:val="en-AU"/>
        </w:rPr>
      </w:pPr>
      <w:r w:rsidRPr="00063988">
        <w:rPr>
          <w:rFonts w:ascii="Calibri" w:hAnsi="Calibri" w:cs="Calibri"/>
          <w:b/>
          <w:sz w:val="22"/>
          <w:szCs w:val="22"/>
          <w:lang w:val="en-AU"/>
        </w:rPr>
        <w:t>Professional</w:t>
      </w:r>
      <w:r w:rsidR="002B776D" w:rsidRPr="00063988">
        <w:rPr>
          <w:rFonts w:ascii="Calibri" w:hAnsi="Calibri" w:cs="Calibri"/>
          <w:b/>
          <w:sz w:val="22"/>
          <w:szCs w:val="22"/>
          <w:lang w:val="en-AU"/>
        </w:rPr>
        <w:t xml:space="preserve"> Experience</w:t>
      </w:r>
    </w:p>
    <w:p w14:paraId="6CE49291" w14:textId="25938829" w:rsidR="00A66E1C" w:rsidRPr="00063988" w:rsidRDefault="00A66E1C" w:rsidP="00786135">
      <w:pPr>
        <w:rPr>
          <w:rFonts w:ascii="Calibri" w:hAnsi="Calibri" w:cs="Calibri"/>
          <w:sz w:val="22"/>
          <w:szCs w:val="22"/>
          <w:lang w:val="en-AU"/>
        </w:rPr>
      </w:pPr>
      <w:r w:rsidRPr="00063988">
        <w:rPr>
          <w:rFonts w:ascii="Calibri" w:hAnsi="Calibri" w:cs="Calibri"/>
          <w:sz w:val="22"/>
          <w:szCs w:val="22"/>
          <w:lang w:val="en-AU"/>
        </w:rPr>
        <w:t>Admitted as a solicitor</w:t>
      </w:r>
      <w:r w:rsidRPr="00063988">
        <w:rPr>
          <w:rFonts w:ascii="Calibri" w:hAnsi="Calibri" w:cs="Calibri"/>
          <w:sz w:val="22"/>
          <w:szCs w:val="22"/>
          <w:lang w:val="en-AU"/>
        </w:rPr>
        <w:tab/>
      </w:r>
      <w:r w:rsidRPr="00063988">
        <w:rPr>
          <w:rFonts w:ascii="Calibri" w:hAnsi="Calibri" w:cs="Calibri"/>
          <w:sz w:val="22"/>
          <w:szCs w:val="22"/>
          <w:lang w:val="en-AU"/>
        </w:rPr>
        <w:tab/>
      </w:r>
      <w:r w:rsidRPr="00063988">
        <w:rPr>
          <w:rFonts w:ascii="Calibri" w:hAnsi="Calibri" w:cs="Calibri"/>
          <w:sz w:val="22"/>
          <w:szCs w:val="22"/>
          <w:lang w:val="en-AU"/>
        </w:rPr>
        <w:tab/>
      </w:r>
      <w:r w:rsidRPr="00063988">
        <w:rPr>
          <w:rFonts w:ascii="Calibri" w:hAnsi="Calibri" w:cs="Calibri"/>
          <w:sz w:val="22"/>
          <w:szCs w:val="22"/>
          <w:lang w:val="en-AU"/>
        </w:rPr>
        <w:tab/>
      </w:r>
      <w:r w:rsidR="004F25DA" w:rsidRPr="00063988">
        <w:rPr>
          <w:rFonts w:ascii="Calibri" w:hAnsi="Calibri" w:cs="Calibri"/>
          <w:sz w:val="22"/>
          <w:szCs w:val="22"/>
          <w:lang w:val="en-AU"/>
        </w:rPr>
        <w:tab/>
      </w:r>
      <w:r w:rsidR="004F25DA" w:rsidRPr="00063988">
        <w:rPr>
          <w:rFonts w:ascii="Calibri" w:hAnsi="Calibri" w:cs="Calibri"/>
          <w:sz w:val="22"/>
          <w:szCs w:val="22"/>
          <w:lang w:val="en-AU"/>
        </w:rPr>
        <w:tab/>
      </w:r>
      <w:r w:rsidR="00063988" w:rsidRPr="00063988">
        <w:rPr>
          <w:rFonts w:ascii="Calibri" w:hAnsi="Calibri" w:cs="Calibri"/>
          <w:sz w:val="22"/>
          <w:szCs w:val="22"/>
          <w:lang w:val="en-AU"/>
        </w:rPr>
        <w:tab/>
      </w:r>
      <w:r w:rsidRPr="00063988">
        <w:rPr>
          <w:rFonts w:ascii="Calibri" w:hAnsi="Calibri" w:cs="Calibri"/>
          <w:sz w:val="22"/>
          <w:szCs w:val="22"/>
          <w:lang w:val="en-AU"/>
        </w:rPr>
        <w:t>1997</w:t>
      </w:r>
    </w:p>
    <w:p w14:paraId="17D7A496" w14:textId="77777777" w:rsidR="00AD2EED" w:rsidRPr="00063988" w:rsidRDefault="002B556A" w:rsidP="00786135">
      <w:pPr>
        <w:rPr>
          <w:rFonts w:ascii="Calibri" w:hAnsi="Calibri" w:cs="Calibri"/>
          <w:sz w:val="22"/>
          <w:szCs w:val="22"/>
          <w:lang w:val="en-AU"/>
        </w:rPr>
      </w:pPr>
      <w:r w:rsidRPr="00063988">
        <w:rPr>
          <w:rFonts w:ascii="Calibri" w:hAnsi="Calibri" w:cs="Calibri"/>
          <w:sz w:val="22"/>
          <w:szCs w:val="22"/>
          <w:lang w:val="en-AU"/>
        </w:rPr>
        <w:t>Called to the Bar</w:t>
      </w:r>
      <w:r w:rsidRPr="00063988">
        <w:rPr>
          <w:rFonts w:ascii="Calibri" w:hAnsi="Calibri" w:cs="Calibri"/>
          <w:sz w:val="22"/>
          <w:szCs w:val="22"/>
          <w:lang w:val="en-AU"/>
        </w:rPr>
        <w:tab/>
      </w:r>
      <w:r w:rsidRPr="00063988">
        <w:rPr>
          <w:rFonts w:ascii="Calibri" w:hAnsi="Calibri" w:cs="Calibri"/>
          <w:sz w:val="22"/>
          <w:szCs w:val="22"/>
          <w:lang w:val="en-AU"/>
        </w:rPr>
        <w:tab/>
      </w:r>
      <w:r w:rsidRPr="00063988">
        <w:rPr>
          <w:rFonts w:ascii="Calibri" w:hAnsi="Calibri" w:cs="Calibri"/>
          <w:sz w:val="22"/>
          <w:szCs w:val="22"/>
          <w:lang w:val="en-AU"/>
        </w:rPr>
        <w:tab/>
      </w:r>
      <w:r w:rsidRPr="00063988">
        <w:rPr>
          <w:rFonts w:ascii="Calibri" w:hAnsi="Calibri" w:cs="Calibri"/>
          <w:sz w:val="22"/>
          <w:szCs w:val="22"/>
          <w:lang w:val="en-AU"/>
        </w:rPr>
        <w:tab/>
      </w:r>
      <w:r w:rsidRPr="00063988">
        <w:rPr>
          <w:rFonts w:ascii="Calibri" w:hAnsi="Calibri" w:cs="Calibri"/>
          <w:sz w:val="22"/>
          <w:szCs w:val="22"/>
          <w:lang w:val="en-AU"/>
        </w:rPr>
        <w:tab/>
      </w:r>
      <w:r w:rsidR="004F25DA" w:rsidRPr="00063988">
        <w:rPr>
          <w:rFonts w:ascii="Calibri" w:hAnsi="Calibri" w:cs="Calibri"/>
          <w:sz w:val="22"/>
          <w:szCs w:val="22"/>
          <w:lang w:val="en-AU"/>
        </w:rPr>
        <w:tab/>
      </w:r>
      <w:r w:rsidR="004F25DA" w:rsidRPr="00063988">
        <w:rPr>
          <w:rFonts w:ascii="Calibri" w:hAnsi="Calibri" w:cs="Calibri"/>
          <w:sz w:val="22"/>
          <w:szCs w:val="22"/>
          <w:lang w:val="en-AU"/>
        </w:rPr>
        <w:tab/>
      </w:r>
      <w:r w:rsidR="00A66E1C" w:rsidRPr="00063988">
        <w:rPr>
          <w:rFonts w:ascii="Calibri" w:hAnsi="Calibri" w:cs="Calibri"/>
          <w:sz w:val="22"/>
          <w:szCs w:val="22"/>
          <w:lang w:val="en-AU"/>
        </w:rPr>
        <w:t>1998</w:t>
      </w:r>
    </w:p>
    <w:p w14:paraId="46D1D526" w14:textId="77777777" w:rsidR="00AD2EED" w:rsidRPr="00063988" w:rsidRDefault="00AD2EED" w:rsidP="00786135">
      <w:pPr>
        <w:rPr>
          <w:rFonts w:ascii="Calibri" w:hAnsi="Calibri" w:cs="Calibri"/>
          <w:sz w:val="22"/>
          <w:szCs w:val="22"/>
          <w:lang w:val="en-AU"/>
        </w:rPr>
      </w:pPr>
    </w:p>
    <w:p w14:paraId="7AEAF7A8" w14:textId="77777777" w:rsidR="007A0B67" w:rsidRPr="00063988" w:rsidRDefault="007A0B67" w:rsidP="00786135">
      <w:pPr>
        <w:rPr>
          <w:rFonts w:ascii="Calibri" w:hAnsi="Calibri" w:cs="Calibri"/>
          <w:b/>
          <w:sz w:val="22"/>
          <w:szCs w:val="22"/>
          <w:lang w:val="en-AU"/>
        </w:rPr>
      </w:pPr>
      <w:r w:rsidRPr="00063988">
        <w:rPr>
          <w:rFonts w:ascii="Calibri" w:hAnsi="Calibri" w:cs="Calibri"/>
          <w:b/>
          <w:sz w:val="22"/>
          <w:szCs w:val="22"/>
          <w:lang w:val="en-AU"/>
        </w:rPr>
        <w:t>Areas of Practice</w:t>
      </w:r>
    </w:p>
    <w:p w14:paraId="2607257D" w14:textId="673BE376" w:rsidR="00123345" w:rsidRDefault="00123345" w:rsidP="00786135">
      <w:pPr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Abuse</w:t>
      </w:r>
      <w:r w:rsidR="00C15109">
        <w:rPr>
          <w:rFonts w:ascii="Calibri" w:hAnsi="Calibri" w:cs="Calibri"/>
          <w:sz w:val="22"/>
          <w:szCs w:val="22"/>
          <w:lang w:val="en-AU"/>
        </w:rPr>
        <w:t xml:space="preserve"> and Historical Sexual Abuse</w:t>
      </w:r>
    </w:p>
    <w:p w14:paraId="6387F96D" w14:textId="39CDC4E4" w:rsidR="007A0B67" w:rsidRPr="00063988" w:rsidRDefault="00F50FFF" w:rsidP="00786135">
      <w:pPr>
        <w:rPr>
          <w:rFonts w:ascii="Calibri" w:hAnsi="Calibri" w:cs="Calibri"/>
          <w:sz w:val="22"/>
          <w:szCs w:val="22"/>
          <w:lang w:val="en-AU"/>
        </w:rPr>
      </w:pPr>
      <w:r w:rsidRPr="00063988">
        <w:rPr>
          <w:rFonts w:ascii="Calibri" w:hAnsi="Calibri" w:cs="Calibri"/>
          <w:sz w:val="22"/>
          <w:szCs w:val="22"/>
          <w:lang w:val="en-AU"/>
        </w:rPr>
        <w:t>Comm</w:t>
      </w:r>
      <w:r w:rsidR="00A66E1C" w:rsidRPr="00063988">
        <w:rPr>
          <w:rFonts w:ascii="Calibri" w:hAnsi="Calibri" w:cs="Calibri"/>
          <w:sz w:val="22"/>
          <w:szCs w:val="22"/>
          <w:lang w:val="en-AU"/>
        </w:rPr>
        <w:t xml:space="preserve">on Law </w:t>
      </w:r>
    </w:p>
    <w:p w14:paraId="7278B07F" w14:textId="77777777" w:rsidR="007A0B67" w:rsidRPr="00063988" w:rsidRDefault="00A66E1C" w:rsidP="00786135">
      <w:pPr>
        <w:rPr>
          <w:rFonts w:ascii="Calibri" w:hAnsi="Calibri" w:cs="Calibri"/>
          <w:sz w:val="22"/>
          <w:szCs w:val="22"/>
          <w:lang w:val="en-AU"/>
        </w:rPr>
      </w:pPr>
      <w:r w:rsidRPr="00063988">
        <w:rPr>
          <w:rFonts w:ascii="Calibri" w:hAnsi="Calibri" w:cs="Calibri"/>
          <w:sz w:val="22"/>
          <w:szCs w:val="22"/>
          <w:lang w:val="en-AU"/>
        </w:rPr>
        <w:t>Coronial Inquests</w:t>
      </w:r>
    </w:p>
    <w:p w14:paraId="1B17F98A" w14:textId="77777777" w:rsidR="007A0B67" w:rsidRPr="00063988" w:rsidRDefault="00A66E1C" w:rsidP="00786135">
      <w:pPr>
        <w:rPr>
          <w:rFonts w:ascii="Calibri" w:hAnsi="Calibri" w:cs="Calibri"/>
          <w:sz w:val="22"/>
          <w:szCs w:val="22"/>
          <w:lang w:val="en-AU"/>
        </w:rPr>
      </w:pPr>
      <w:r w:rsidRPr="00063988">
        <w:rPr>
          <w:rFonts w:ascii="Calibri" w:hAnsi="Calibri" w:cs="Calibri"/>
          <w:sz w:val="22"/>
          <w:szCs w:val="22"/>
          <w:lang w:val="en-AU"/>
        </w:rPr>
        <w:t>Insurance Law</w:t>
      </w:r>
    </w:p>
    <w:p w14:paraId="01CCF14A" w14:textId="77777777" w:rsidR="007A0B67" w:rsidRPr="00063988" w:rsidRDefault="007A0B67" w:rsidP="00786135">
      <w:pPr>
        <w:rPr>
          <w:rFonts w:ascii="Calibri" w:hAnsi="Calibri" w:cs="Calibri"/>
          <w:sz w:val="22"/>
          <w:szCs w:val="22"/>
          <w:lang w:val="en-AU"/>
        </w:rPr>
      </w:pPr>
      <w:r w:rsidRPr="00063988">
        <w:rPr>
          <w:rFonts w:ascii="Calibri" w:hAnsi="Calibri" w:cs="Calibri"/>
          <w:sz w:val="22"/>
          <w:szCs w:val="22"/>
          <w:lang w:val="en-AU"/>
        </w:rPr>
        <w:t>Intentional Torts</w:t>
      </w:r>
    </w:p>
    <w:p w14:paraId="2E51424E" w14:textId="77777777" w:rsidR="00A66E1C" w:rsidRPr="00063988" w:rsidRDefault="00A66E1C" w:rsidP="00786135">
      <w:pPr>
        <w:rPr>
          <w:rFonts w:ascii="Calibri" w:hAnsi="Calibri" w:cs="Calibri"/>
          <w:sz w:val="22"/>
          <w:szCs w:val="22"/>
          <w:lang w:val="en-AU"/>
        </w:rPr>
      </w:pPr>
      <w:r w:rsidRPr="00063988">
        <w:rPr>
          <w:rFonts w:ascii="Calibri" w:hAnsi="Calibri" w:cs="Calibri"/>
          <w:sz w:val="22"/>
          <w:szCs w:val="22"/>
          <w:lang w:val="en-AU"/>
        </w:rPr>
        <w:t>Mediation and Alternate Dispute Resolution</w:t>
      </w:r>
    </w:p>
    <w:p w14:paraId="7E697A6F" w14:textId="47DC65D4" w:rsidR="00A66E1C" w:rsidRDefault="00A66E1C" w:rsidP="00786135">
      <w:pPr>
        <w:rPr>
          <w:rFonts w:ascii="Calibri" w:hAnsi="Calibri" w:cs="Calibri"/>
          <w:sz w:val="22"/>
          <w:szCs w:val="22"/>
          <w:lang w:val="en-AU"/>
        </w:rPr>
      </w:pPr>
      <w:r w:rsidRPr="00063988">
        <w:rPr>
          <w:rFonts w:ascii="Calibri" w:hAnsi="Calibri" w:cs="Calibri"/>
          <w:sz w:val="22"/>
          <w:szCs w:val="22"/>
          <w:lang w:val="en-AU"/>
        </w:rPr>
        <w:t>Personal Injury</w:t>
      </w:r>
    </w:p>
    <w:p w14:paraId="6D5A9307" w14:textId="786BCD44" w:rsidR="009C6EEE" w:rsidRPr="00063988" w:rsidRDefault="009C6EEE" w:rsidP="00786135">
      <w:pPr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Medical Negligence</w:t>
      </w:r>
    </w:p>
    <w:p w14:paraId="2F8AEBD6" w14:textId="77777777" w:rsidR="00A66E1C" w:rsidRPr="00063988" w:rsidRDefault="00A66E1C" w:rsidP="00786135">
      <w:pPr>
        <w:rPr>
          <w:rFonts w:ascii="Calibri" w:hAnsi="Calibri" w:cs="Calibri"/>
          <w:sz w:val="22"/>
          <w:szCs w:val="22"/>
          <w:lang w:val="en-AU"/>
        </w:rPr>
      </w:pPr>
      <w:r w:rsidRPr="00063988">
        <w:rPr>
          <w:rFonts w:ascii="Calibri" w:hAnsi="Calibri" w:cs="Calibri"/>
          <w:sz w:val="22"/>
          <w:szCs w:val="22"/>
          <w:lang w:val="en-AU"/>
        </w:rPr>
        <w:t>Professional Negligence</w:t>
      </w:r>
    </w:p>
    <w:p w14:paraId="7F863FCA" w14:textId="77777777" w:rsidR="007A0B67" w:rsidRPr="00063988" w:rsidRDefault="00F50FFF" w:rsidP="00786135">
      <w:pPr>
        <w:rPr>
          <w:rFonts w:ascii="Calibri" w:hAnsi="Calibri" w:cs="Calibri"/>
          <w:sz w:val="22"/>
          <w:szCs w:val="22"/>
          <w:lang w:val="en-AU"/>
        </w:rPr>
      </w:pPr>
      <w:r w:rsidRPr="00063988">
        <w:rPr>
          <w:rFonts w:ascii="Calibri" w:hAnsi="Calibri" w:cs="Calibri"/>
          <w:sz w:val="22"/>
          <w:szCs w:val="22"/>
          <w:lang w:val="en-AU"/>
        </w:rPr>
        <w:t>Products Liability</w:t>
      </w:r>
    </w:p>
    <w:p w14:paraId="5C4A1A6C" w14:textId="77777777" w:rsidR="00A66E1C" w:rsidRPr="00063988" w:rsidRDefault="00A66E1C" w:rsidP="00786135">
      <w:pPr>
        <w:rPr>
          <w:rFonts w:ascii="Calibri" w:hAnsi="Calibri" w:cs="Calibri"/>
          <w:sz w:val="22"/>
          <w:szCs w:val="22"/>
          <w:lang w:val="en-AU"/>
        </w:rPr>
      </w:pPr>
      <w:r w:rsidRPr="00063988">
        <w:rPr>
          <w:rFonts w:ascii="Calibri" w:hAnsi="Calibri" w:cs="Calibri"/>
          <w:sz w:val="22"/>
          <w:szCs w:val="22"/>
          <w:lang w:val="en-AU"/>
        </w:rPr>
        <w:t>Public Liability</w:t>
      </w:r>
    </w:p>
    <w:p w14:paraId="21E48CC2" w14:textId="1596B7D7" w:rsidR="007A0B67" w:rsidRPr="00063988" w:rsidRDefault="00A66E1C" w:rsidP="00786135">
      <w:pPr>
        <w:rPr>
          <w:rFonts w:ascii="Calibri" w:hAnsi="Calibri" w:cs="Calibri"/>
          <w:sz w:val="22"/>
          <w:szCs w:val="22"/>
          <w:lang w:val="en-AU"/>
        </w:rPr>
      </w:pPr>
      <w:r w:rsidRPr="00063988">
        <w:rPr>
          <w:rFonts w:ascii="Calibri" w:hAnsi="Calibri" w:cs="Calibri"/>
          <w:sz w:val="22"/>
          <w:szCs w:val="22"/>
          <w:lang w:val="en-AU"/>
        </w:rPr>
        <w:t>Statutory Tribunals</w:t>
      </w:r>
    </w:p>
    <w:p w14:paraId="57F8BB0D" w14:textId="77777777" w:rsidR="007A0B67" w:rsidRPr="00063988" w:rsidRDefault="007A0B67" w:rsidP="00786135">
      <w:pPr>
        <w:rPr>
          <w:rFonts w:ascii="Calibri" w:hAnsi="Calibri" w:cs="Calibri"/>
          <w:sz w:val="22"/>
          <w:szCs w:val="22"/>
          <w:lang w:val="en-AU"/>
        </w:rPr>
      </w:pPr>
    </w:p>
    <w:p w14:paraId="5D92606F" w14:textId="538A6D8C" w:rsidR="007B1855" w:rsidRPr="00063988" w:rsidRDefault="002B776D" w:rsidP="00786135">
      <w:pPr>
        <w:rPr>
          <w:rFonts w:ascii="Calibri" w:hAnsi="Calibri" w:cs="Calibri"/>
          <w:b/>
          <w:sz w:val="22"/>
          <w:szCs w:val="22"/>
        </w:rPr>
      </w:pPr>
      <w:r w:rsidRPr="00063988">
        <w:rPr>
          <w:rFonts w:ascii="Calibri" w:hAnsi="Calibri" w:cs="Calibri"/>
          <w:b/>
          <w:sz w:val="22"/>
          <w:szCs w:val="22"/>
        </w:rPr>
        <w:t>Memberships</w:t>
      </w:r>
    </w:p>
    <w:p w14:paraId="5ECD6AD3" w14:textId="065590E9" w:rsidR="00B22945" w:rsidRPr="00063988" w:rsidRDefault="00AD2EED" w:rsidP="00786135">
      <w:pPr>
        <w:rPr>
          <w:rFonts w:ascii="Calibri" w:hAnsi="Calibri" w:cs="Calibri"/>
          <w:sz w:val="22"/>
          <w:szCs w:val="22"/>
        </w:rPr>
      </w:pPr>
      <w:r w:rsidRPr="00063988">
        <w:rPr>
          <w:rFonts w:ascii="Calibri" w:hAnsi="Calibri" w:cs="Calibri"/>
          <w:sz w:val="22"/>
          <w:szCs w:val="22"/>
        </w:rPr>
        <w:t xml:space="preserve">Member of </w:t>
      </w:r>
      <w:r w:rsidR="00D468FD" w:rsidRPr="00063988">
        <w:rPr>
          <w:rFonts w:ascii="Calibri" w:hAnsi="Calibri" w:cs="Calibri"/>
          <w:sz w:val="22"/>
          <w:szCs w:val="22"/>
        </w:rPr>
        <w:t xml:space="preserve">the NSW Bar </w:t>
      </w:r>
      <w:r w:rsidR="00B22945" w:rsidRPr="00063988">
        <w:rPr>
          <w:rFonts w:ascii="Calibri" w:hAnsi="Calibri" w:cs="Calibri"/>
          <w:sz w:val="22"/>
          <w:szCs w:val="22"/>
        </w:rPr>
        <w:t>Association.</w:t>
      </w:r>
    </w:p>
    <w:p w14:paraId="1BA4FDDC" w14:textId="08044342" w:rsidR="00063988" w:rsidRPr="00063988" w:rsidRDefault="00063988" w:rsidP="00786135">
      <w:pPr>
        <w:rPr>
          <w:rFonts w:ascii="Calibri" w:hAnsi="Calibri" w:cs="Calibri"/>
          <w:sz w:val="22"/>
          <w:szCs w:val="22"/>
        </w:rPr>
      </w:pPr>
      <w:r w:rsidRPr="00063988">
        <w:rPr>
          <w:rFonts w:ascii="Calibri" w:hAnsi="Calibri" w:cs="Calibri"/>
          <w:sz w:val="22"/>
          <w:szCs w:val="22"/>
        </w:rPr>
        <w:t>Women Lawyers Association of NSW.</w:t>
      </w:r>
    </w:p>
    <w:p w14:paraId="0987F94C" w14:textId="7022EBAA" w:rsidR="00B22945" w:rsidRPr="00063988" w:rsidRDefault="00AD2EED" w:rsidP="00786135">
      <w:pPr>
        <w:rPr>
          <w:rFonts w:ascii="Calibri" w:hAnsi="Calibri" w:cs="Calibri"/>
          <w:sz w:val="22"/>
          <w:szCs w:val="22"/>
        </w:rPr>
      </w:pPr>
      <w:r w:rsidRPr="00063988">
        <w:rPr>
          <w:rFonts w:ascii="Calibri" w:hAnsi="Calibri" w:cs="Calibri"/>
          <w:sz w:val="22"/>
          <w:szCs w:val="22"/>
        </w:rPr>
        <w:t>NSW Bar Association’s Equal Opportu</w:t>
      </w:r>
      <w:r w:rsidR="00B22945" w:rsidRPr="00063988">
        <w:rPr>
          <w:rFonts w:ascii="Calibri" w:hAnsi="Calibri" w:cs="Calibri"/>
          <w:sz w:val="22"/>
          <w:szCs w:val="22"/>
        </w:rPr>
        <w:t xml:space="preserve">nity Committees from 2013 - </w:t>
      </w:r>
      <w:r w:rsidRPr="00063988">
        <w:rPr>
          <w:rFonts w:ascii="Calibri" w:hAnsi="Calibri" w:cs="Calibri"/>
          <w:sz w:val="22"/>
          <w:szCs w:val="22"/>
        </w:rPr>
        <w:t>2015.</w:t>
      </w:r>
      <w:r w:rsidR="00B22945" w:rsidRPr="00063988">
        <w:rPr>
          <w:rFonts w:ascii="Calibri" w:hAnsi="Calibri" w:cs="Calibri"/>
          <w:sz w:val="22"/>
          <w:szCs w:val="22"/>
        </w:rPr>
        <w:t xml:space="preserve"> </w:t>
      </w:r>
    </w:p>
    <w:p w14:paraId="06B7D8D0" w14:textId="683215DA" w:rsidR="00063988" w:rsidRPr="00063988" w:rsidRDefault="00B36A9E" w:rsidP="0078613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063988" w:rsidRPr="00063988">
        <w:rPr>
          <w:rFonts w:ascii="Calibri" w:hAnsi="Calibri" w:cs="Calibri"/>
          <w:sz w:val="22"/>
          <w:szCs w:val="22"/>
        </w:rPr>
        <w:t>ppointed Director of Women’s Bowls NSW 2016-2018.</w:t>
      </w:r>
    </w:p>
    <w:p w14:paraId="2F67562D" w14:textId="0A389EFD" w:rsidR="00063988" w:rsidRPr="00063988" w:rsidRDefault="00B36A9E" w:rsidP="0078613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063988" w:rsidRPr="00063988">
        <w:rPr>
          <w:rFonts w:ascii="Calibri" w:hAnsi="Calibri" w:cs="Calibri"/>
          <w:sz w:val="22"/>
          <w:szCs w:val="22"/>
        </w:rPr>
        <w:t>urrently an elected Director of Bowls Australia</w:t>
      </w:r>
      <w:r w:rsidR="00473729">
        <w:rPr>
          <w:rFonts w:ascii="Calibri" w:hAnsi="Calibri" w:cs="Calibri"/>
          <w:sz w:val="22"/>
          <w:szCs w:val="22"/>
        </w:rPr>
        <w:t xml:space="preserve"> </w:t>
      </w:r>
      <w:r w:rsidR="00ED4B3E">
        <w:rPr>
          <w:rFonts w:ascii="Calibri" w:hAnsi="Calibri" w:cs="Calibri"/>
          <w:sz w:val="22"/>
          <w:szCs w:val="22"/>
        </w:rPr>
        <w:t>(</w:t>
      </w:r>
      <w:r w:rsidR="00473729">
        <w:rPr>
          <w:rFonts w:ascii="Calibri" w:hAnsi="Calibri" w:cs="Calibri"/>
          <w:sz w:val="22"/>
          <w:szCs w:val="22"/>
        </w:rPr>
        <w:t>since 2019</w:t>
      </w:r>
      <w:r w:rsidR="00ED4B3E">
        <w:rPr>
          <w:rFonts w:ascii="Calibri" w:hAnsi="Calibri" w:cs="Calibri"/>
          <w:sz w:val="22"/>
          <w:szCs w:val="22"/>
        </w:rPr>
        <w:t>)</w:t>
      </w:r>
      <w:r w:rsidR="00473729">
        <w:rPr>
          <w:rFonts w:ascii="Calibri" w:hAnsi="Calibri" w:cs="Calibri"/>
          <w:sz w:val="22"/>
          <w:szCs w:val="22"/>
        </w:rPr>
        <w:t>.</w:t>
      </w:r>
    </w:p>
    <w:p w14:paraId="54272060" w14:textId="6EFA0DD7" w:rsidR="00BE56DF" w:rsidRPr="00063988" w:rsidRDefault="00BE56DF" w:rsidP="00786135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C629503" w14:textId="4B7A84E6" w:rsidR="00421F10" w:rsidRPr="00421F10" w:rsidRDefault="00421F10" w:rsidP="00786135">
      <w:pPr>
        <w:rPr>
          <w:rFonts w:ascii="Calibri" w:hAnsi="Calibri" w:cs="Calibri"/>
          <w:b/>
          <w:bCs/>
          <w:sz w:val="22"/>
          <w:szCs w:val="22"/>
        </w:rPr>
      </w:pPr>
      <w:r w:rsidRPr="00421F10">
        <w:rPr>
          <w:rFonts w:ascii="Calibri" w:hAnsi="Calibri" w:cs="Calibri"/>
          <w:b/>
          <w:bCs/>
          <w:sz w:val="22"/>
          <w:szCs w:val="22"/>
        </w:rPr>
        <w:t>Experience</w:t>
      </w:r>
    </w:p>
    <w:p w14:paraId="29084B3B" w14:textId="44E6FC1C" w:rsidR="00835E71" w:rsidRDefault="00BF1F22" w:rsidP="00786135">
      <w:pPr>
        <w:rPr>
          <w:rFonts w:ascii="Calibri" w:hAnsi="Calibri" w:cs="Calibri"/>
          <w:sz w:val="22"/>
          <w:szCs w:val="22"/>
        </w:rPr>
      </w:pPr>
      <w:r w:rsidRPr="00063988">
        <w:rPr>
          <w:rFonts w:ascii="Calibri" w:hAnsi="Calibri" w:cs="Calibri"/>
          <w:sz w:val="22"/>
          <w:szCs w:val="22"/>
        </w:rPr>
        <w:t>During the last 2</w:t>
      </w:r>
      <w:r w:rsidR="00473729">
        <w:rPr>
          <w:rFonts w:ascii="Calibri" w:hAnsi="Calibri" w:cs="Calibri"/>
          <w:sz w:val="22"/>
          <w:szCs w:val="22"/>
        </w:rPr>
        <w:t>4</w:t>
      </w:r>
      <w:r w:rsidRPr="00063988">
        <w:rPr>
          <w:rFonts w:ascii="Calibri" w:hAnsi="Calibri" w:cs="Calibri"/>
          <w:sz w:val="22"/>
          <w:szCs w:val="22"/>
        </w:rPr>
        <w:t xml:space="preserve"> years</w:t>
      </w:r>
      <w:r w:rsidR="009F64B8" w:rsidRPr="00063988">
        <w:rPr>
          <w:rFonts w:ascii="Calibri" w:hAnsi="Calibri" w:cs="Calibri"/>
          <w:sz w:val="22"/>
          <w:szCs w:val="22"/>
        </w:rPr>
        <w:t xml:space="preserve"> I have been</w:t>
      </w:r>
      <w:r w:rsidR="002B776D" w:rsidRPr="00063988">
        <w:rPr>
          <w:rFonts w:ascii="Calibri" w:hAnsi="Calibri" w:cs="Calibri"/>
          <w:sz w:val="22"/>
          <w:szCs w:val="22"/>
        </w:rPr>
        <w:t xml:space="preserve"> </w:t>
      </w:r>
      <w:r w:rsidR="00640BDD" w:rsidRPr="00063988">
        <w:rPr>
          <w:rFonts w:ascii="Calibri" w:hAnsi="Calibri" w:cs="Calibri"/>
          <w:sz w:val="22"/>
          <w:szCs w:val="22"/>
        </w:rPr>
        <w:t>briefed</w:t>
      </w:r>
      <w:r w:rsidR="009F64B8" w:rsidRPr="00063988">
        <w:rPr>
          <w:rFonts w:ascii="Calibri" w:hAnsi="Calibri" w:cs="Calibri"/>
          <w:sz w:val="22"/>
          <w:szCs w:val="22"/>
        </w:rPr>
        <w:t xml:space="preserve"> regularly</w:t>
      </w:r>
      <w:r w:rsidR="00EA04E6" w:rsidRPr="00063988">
        <w:rPr>
          <w:rFonts w:ascii="Calibri" w:hAnsi="Calibri" w:cs="Calibri"/>
          <w:sz w:val="22"/>
          <w:szCs w:val="22"/>
        </w:rPr>
        <w:t xml:space="preserve"> to appear and</w:t>
      </w:r>
      <w:r w:rsidR="009F64B8" w:rsidRPr="00063988">
        <w:rPr>
          <w:rFonts w:ascii="Calibri" w:hAnsi="Calibri" w:cs="Calibri"/>
          <w:sz w:val="22"/>
          <w:szCs w:val="22"/>
        </w:rPr>
        <w:t xml:space="preserve"> to</w:t>
      </w:r>
      <w:r w:rsidR="00EA04E6" w:rsidRPr="00063988">
        <w:rPr>
          <w:rFonts w:ascii="Calibri" w:hAnsi="Calibri" w:cs="Calibri"/>
          <w:sz w:val="22"/>
          <w:szCs w:val="22"/>
        </w:rPr>
        <w:t xml:space="preserve"> advise</w:t>
      </w:r>
      <w:r w:rsidR="00835E71">
        <w:rPr>
          <w:rFonts w:ascii="Calibri" w:hAnsi="Calibri" w:cs="Calibri"/>
          <w:sz w:val="22"/>
          <w:szCs w:val="22"/>
        </w:rPr>
        <w:t xml:space="preserve">: </w:t>
      </w:r>
      <w:r w:rsidR="00640BDD" w:rsidRPr="00063988">
        <w:rPr>
          <w:rFonts w:ascii="Calibri" w:hAnsi="Calibri" w:cs="Calibri"/>
          <w:sz w:val="22"/>
          <w:szCs w:val="22"/>
        </w:rPr>
        <w:t>insur</w:t>
      </w:r>
      <w:r w:rsidR="00063988" w:rsidRPr="00063988">
        <w:rPr>
          <w:rFonts w:ascii="Calibri" w:hAnsi="Calibri" w:cs="Calibri"/>
          <w:sz w:val="22"/>
          <w:szCs w:val="22"/>
        </w:rPr>
        <w:t>ers</w:t>
      </w:r>
      <w:r w:rsidR="00AA4574" w:rsidRPr="00063988">
        <w:rPr>
          <w:rFonts w:ascii="Calibri" w:hAnsi="Calibri" w:cs="Calibri"/>
          <w:sz w:val="22"/>
          <w:szCs w:val="22"/>
        </w:rPr>
        <w:t>, the NSW Police Force</w:t>
      </w:r>
      <w:r w:rsidR="00640BDD" w:rsidRPr="00063988">
        <w:rPr>
          <w:rFonts w:ascii="Calibri" w:hAnsi="Calibri" w:cs="Calibri"/>
          <w:sz w:val="22"/>
          <w:szCs w:val="22"/>
        </w:rPr>
        <w:t xml:space="preserve"> </w:t>
      </w:r>
      <w:r w:rsidR="00421F10">
        <w:rPr>
          <w:rFonts w:ascii="Calibri" w:hAnsi="Calibri" w:cs="Calibri"/>
          <w:sz w:val="22"/>
          <w:szCs w:val="22"/>
        </w:rPr>
        <w:t xml:space="preserve">(NSWPF) </w:t>
      </w:r>
      <w:r w:rsidR="00640BDD" w:rsidRPr="00063988">
        <w:rPr>
          <w:rFonts w:ascii="Calibri" w:hAnsi="Calibri" w:cs="Calibri"/>
          <w:sz w:val="22"/>
          <w:szCs w:val="22"/>
        </w:rPr>
        <w:t>and</w:t>
      </w:r>
      <w:r w:rsidR="009F64B8" w:rsidRPr="00063988">
        <w:rPr>
          <w:rFonts w:ascii="Calibri" w:hAnsi="Calibri" w:cs="Calibri"/>
          <w:sz w:val="22"/>
          <w:szCs w:val="22"/>
        </w:rPr>
        <w:t xml:space="preserve"> various</w:t>
      </w:r>
      <w:r w:rsidR="00640BDD" w:rsidRPr="00063988">
        <w:rPr>
          <w:rFonts w:ascii="Calibri" w:hAnsi="Calibri" w:cs="Calibri"/>
          <w:sz w:val="22"/>
          <w:szCs w:val="22"/>
        </w:rPr>
        <w:t xml:space="preserve"> </w:t>
      </w:r>
      <w:r w:rsidR="00AA4574" w:rsidRPr="00063988">
        <w:rPr>
          <w:rFonts w:ascii="Calibri" w:hAnsi="Calibri" w:cs="Calibri"/>
          <w:sz w:val="22"/>
          <w:szCs w:val="22"/>
        </w:rPr>
        <w:t xml:space="preserve">other </w:t>
      </w:r>
      <w:r w:rsidR="00640BDD" w:rsidRPr="00063988">
        <w:rPr>
          <w:rFonts w:ascii="Calibri" w:hAnsi="Calibri" w:cs="Calibri"/>
          <w:sz w:val="22"/>
          <w:szCs w:val="22"/>
        </w:rPr>
        <w:t>government agencies</w:t>
      </w:r>
      <w:r w:rsidR="00EA3A1E" w:rsidRPr="00063988">
        <w:rPr>
          <w:rFonts w:ascii="Calibri" w:hAnsi="Calibri" w:cs="Calibri"/>
          <w:sz w:val="22"/>
          <w:szCs w:val="22"/>
        </w:rPr>
        <w:t xml:space="preserve">. </w:t>
      </w:r>
      <w:r w:rsidR="00473729">
        <w:rPr>
          <w:rFonts w:ascii="Calibri" w:hAnsi="Calibri" w:cs="Calibri"/>
          <w:sz w:val="22"/>
          <w:szCs w:val="22"/>
        </w:rPr>
        <w:t>In</w:t>
      </w:r>
      <w:r w:rsidR="00123345">
        <w:rPr>
          <w:rFonts w:ascii="Calibri" w:hAnsi="Calibri" w:cs="Calibri"/>
          <w:sz w:val="22"/>
          <w:szCs w:val="22"/>
        </w:rPr>
        <w:t xml:space="preserve"> </w:t>
      </w:r>
      <w:r w:rsidR="00473729">
        <w:rPr>
          <w:rFonts w:ascii="Calibri" w:hAnsi="Calibri" w:cs="Calibri"/>
          <w:sz w:val="22"/>
          <w:szCs w:val="22"/>
        </w:rPr>
        <w:t>recent years I have</w:t>
      </w:r>
      <w:r w:rsidR="00EA174B">
        <w:rPr>
          <w:rFonts w:ascii="Calibri" w:hAnsi="Calibri" w:cs="Calibri"/>
          <w:sz w:val="22"/>
          <w:szCs w:val="22"/>
        </w:rPr>
        <w:t xml:space="preserve"> also</w:t>
      </w:r>
      <w:r w:rsidR="00473729">
        <w:rPr>
          <w:rFonts w:ascii="Calibri" w:hAnsi="Calibri" w:cs="Calibri"/>
          <w:sz w:val="22"/>
          <w:szCs w:val="22"/>
        </w:rPr>
        <w:t xml:space="preserve"> been briefed in </w:t>
      </w:r>
      <w:r w:rsidR="00835E71">
        <w:rPr>
          <w:rFonts w:ascii="Calibri" w:hAnsi="Calibri" w:cs="Calibri"/>
          <w:sz w:val="22"/>
          <w:szCs w:val="22"/>
        </w:rPr>
        <w:t xml:space="preserve">a range of matters </w:t>
      </w:r>
      <w:r w:rsidR="00473729">
        <w:rPr>
          <w:rFonts w:ascii="Calibri" w:hAnsi="Calibri" w:cs="Calibri"/>
          <w:sz w:val="22"/>
          <w:szCs w:val="22"/>
        </w:rPr>
        <w:t xml:space="preserve">for the Department of </w:t>
      </w:r>
      <w:r w:rsidR="00123345">
        <w:rPr>
          <w:rFonts w:ascii="Calibri" w:hAnsi="Calibri" w:cs="Calibri"/>
          <w:sz w:val="22"/>
          <w:szCs w:val="22"/>
        </w:rPr>
        <w:t>E</w:t>
      </w:r>
      <w:r w:rsidR="00473729">
        <w:rPr>
          <w:rFonts w:ascii="Calibri" w:hAnsi="Calibri" w:cs="Calibri"/>
          <w:sz w:val="22"/>
          <w:szCs w:val="22"/>
        </w:rPr>
        <w:t>ducation and the Department of Communities and Justice.</w:t>
      </w:r>
      <w:r w:rsidR="007B1855">
        <w:rPr>
          <w:rFonts w:ascii="Calibri" w:hAnsi="Calibri" w:cs="Calibri"/>
          <w:sz w:val="22"/>
          <w:szCs w:val="22"/>
        </w:rPr>
        <w:t xml:space="preserve"> </w:t>
      </w:r>
    </w:p>
    <w:p w14:paraId="74B92F44" w14:textId="77777777" w:rsidR="00835E71" w:rsidRDefault="00835E71" w:rsidP="00786135">
      <w:pPr>
        <w:rPr>
          <w:rFonts w:ascii="Calibri" w:hAnsi="Calibri" w:cs="Calibri"/>
          <w:sz w:val="22"/>
          <w:szCs w:val="22"/>
        </w:rPr>
      </w:pPr>
    </w:p>
    <w:p w14:paraId="6FAAB410" w14:textId="6A413EC0" w:rsidR="00421F10" w:rsidRPr="00421F10" w:rsidRDefault="00EA3A1E" w:rsidP="00D431C5">
      <w:pPr>
        <w:rPr>
          <w:rFonts w:ascii="Calibri" w:hAnsi="Calibri" w:cs="Calibri"/>
          <w:sz w:val="22"/>
          <w:szCs w:val="22"/>
        </w:rPr>
      </w:pPr>
      <w:r w:rsidRPr="00063988">
        <w:rPr>
          <w:rFonts w:ascii="Calibri" w:hAnsi="Calibri" w:cs="Calibri"/>
          <w:sz w:val="22"/>
          <w:szCs w:val="22"/>
        </w:rPr>
        <w:t xml:space="preserve">I have extensive </w:t>
      </w:r>
      <w:r w:rsidR="009F64B8" w:rsidRPr="00063988">
        <w:rPr>
          <w:rFonts w:ascii="Calibri" w:hAnsi="Calibri" w:cs="Calibri"/>
          <w:sz w:val="22"/>
          <w:szCs w:val="22"/>
        </w:rPr>
        <w:t>advocacy experience, particularly in matters in the District</w:t>
      </w:r>
      <w:r w:rsidRPr="00063988">
        <w:rPr>
          <w:rFonts w:ascii="Calibri" w:hAnsi="Calibri" w:cs="Calibri"/>
          <w:sz w:val="22"/>
          <w:szCs w:val="22"/>
        </w:rPr>
        <w:t xml:space="preserve"> </w:t>
      </w:r>
      <w:r w:rsidR="009F64B8" w:rsidRPr="00063988">
        <w:rPr>
          <w:rFonts w:ascii="Calibri" w:hAnsi="Calibri" w:cs="Calibri"/>
          <w:sz w:val="22"/>
          <w:szCs w:val="22"/>
        </w:rPr>
        <w:t xml:space="preserve">and </w:t>
      </w:r>
      <w:r w:rsidRPr="00063988">
        <w:rPr>
          <w:rFonts w:ascii="Calibri" w:hAnsi="Calibri" w:cs="Calibri"/>
          <w:sz w:val="22"/>
          <w:szCs w:val="22"/>
        </w:rPr>
        <w:t>Supreme Court</w:t>
      </w:r>
      <w:r w:rsidR="009F64B8" w:rsidRPr="00063988">
        <w:rPr>
          <w:rFonts w:ascii="Calibri" w:hAnsi="Calibri" w:cs="Calibri"/>
          <w:sz w:val="22"/>
          <w:szCs w:val="22"/>
        </w:rPr>
        <w:t>s of NSW</w:t>
      </w:r>
      <w:r w:rsidR="00473729">
        <w:rPr>
          <w:rFonts w:ascii="Calibri" w:hAnsi="Calibri" w:cs="Calibri"/>
          <w:sz w:val="22"/>
          <w:szCs w:val="22"/>
        </w:rPr>
        <w:t>.</w:t>
      </w:r>
      <w:r w:rsidR="00EA174B">
        <w:rPr>
          <w:rFonts w:ascii="Calibri" w:hAnsi="Calibri" w:cs="Calibri"/>
          <w:sz w:val="22"/>
          <w:szCs w:val="22"/>
        </w:rPr>
        <w:t xml:space="preserve"> </w:t>
      </w:r>
      <w:r w:rsidR="00B36A9E">
        <w:rPr>
          <w:rFonts w:ascii="Calibri" w:hAnsi="Calibri" w:cs="Calibri"/>
          <w:sz w:val="22"/>
          <w:szCs w:val="22"/>
        </w:rPr>
        <w:t>I have appeared in the Law Enforcement Conduct Commission (LECC) on a number of occasions for the Commissioner of Police as</w:t>
      </w:r>
      <w:r w:rsidR="00835E71">
        <w:rPr>
          <w:rFonts w:ascii="Calibri" w:hAnsi="Calibri" w:cs="Calibri"/>
          <w:sz w:val="22"/>
          <w:szCs w:val="22"/>
        </w:rPr>
        <w:t xml:space="preserve"> well</w:t>
      </w:r>
      <w:r w:rsidR="00B36A9E">
        <w:rPr>
          <w:rFonts w:ascii="Calibri" w:hAnsi="Calibri" w:cs="Calibri"/>
          <w:sz w:val="22"/>
          <w:szCs w:val="22"/>
        </w:rPr>
        <w:t xml:space="preserve"> as individual police officers.</w:t>
      </w:r>
      <w:r w:rsidR="00421F10">
        <w:rPr>
          <w:rFonts w:ascii="Calibri" w:hAnsi="Calibri" w:cs="Calibri"/>
          <w:sz w:val="22"/>
          <w:szCs w:val="22"/>
        </w:rPr>
        <w:t xml:space="preserve"> I was involved in drafting and submitting submissions on behalf of the NSWPF to Parliament regarding strip search practices of the NSWPF in relation to minors.</w:t>
      </w:r>
    </w:p>
    <w:p w14:paraId="382AD369" w14:textId="77777777" w:rsidR="00421F10" w:rsidRDefault="00421F10" w:rsidP="00D431C5">
      <w:pPr>
        <w:rPr>
          <w:rFonts w:ascii="Calibri" w:hAnsi="Calibri" w:cs="Calibri"/>
          <w:b/>
          <w:sz w:val="22"/>
          <w:szCs w:val="22"/>
        </w:rPr>
      </w:pPr>
    </w:p>
    <w:p w14:paraId="73FDFF37" w14:textId="02CAC66C" w:rsidR="00063988" w:rsidRPr="007B1855" w:rsidRDefault="00D431C5" w:rsidP="00D431C5">
      <w:pPr>
        <w:rPr>
          <w:rFonts w:ascii="Calibri" w:hAnsi="Calibri" w:cs="Calibri"/>
          <w:b/>
          <w:sz w:val="22"/>
          <w:szCs w:val="22"/>
        </w:rPr>
      </w:pPr>
      <w:r w:rsidRPr="007B1855">
        <w:rPr>
          <w:rFonts w:ascii="Calibri" w:hAnsi="Calibri" w:cs="Calibri"/>
          <w:b/>
          <w:sz w:val="22"/>
          <w:szCs w:val="22"/>
        </w:rPr>
        <w:t>Coronial Inquests</w:t>
      </w:r>
    </w:p>
    <w:p w14:paraId="4FF27E6D" w14:textId="431A08F4" w:rsidR="00005595" w:rsidRDefault="00D431C5" w:rsidP="00005595">
      <w:pPr>
        <w:pStyle w:val="Default"/>
      </w:pPr>
      <w:r w:rsidRPr="00063988">
        <w:rPr>
          <w:rFonts w:ascii="Calibri" w:hAnsi="Calibri" w:cs="Calibri"/>
          <w:sz w:val="22"/>
          <w:szCs w:val="22"/>
        </w:rPr>
        <w:t xml:space="preserve">I have been briefed to appear in numerous coronial inquests for medical practitioners, nurses, private hospitals, </w:t>
      </w:r>
      <w:r w:rsidR="00123345">
        <w:rPr>
          <w:rFonts w:ascii="Calibri" w:hAnsi="Calibri" w:cs="Calibri"/>
          <w:sz w:val="22"/>
          <w:szCs w:val="22"/>
        </w:rPr>
        <w:t xml:space="preserve">Health NSW, </w:t>
      </w:r>
      <w:r w:rsidRPr="00063988">
        <w:rPr>
          <w:rFonts w:ascii="Calibri" w:hAnsi="Calibri" w:cs="Calibri"/>
          <w:sz w:val="22"/>
          <w:szCs w:val="22"/>
        </w:rPr>
        <w:t>Roads and Maritime Services</w:t>
      </w:r>
      <w:r w:rsidR="00473729">
        <w:rPr>
          <w:rFonts w:ascii="Calibri" w:hAnsi="Calibri" w:cs="Calibri"/>
          <w:sz w:val="22"/>
          <w:szCs w:val="22"/>
        </w:rPr>
        <w:t xml:space="preserve"> (now Service NSW)</w:t>
      </w:r>
      <w:r w:rsidRPr="00063988">
        <w:rPr>
          <w:rFonts w:ascii="Calibri" w:hAnsi="Calibri" w:cs="Calibri"/>
          <w:sz w:val="22"/>
          <w:szCs w:val="22"/>
        </w:rPr>
        <w:t>, Sydney Trains, Ambulance Officers and the NSW Police Force</w:t>
      </w:r>
      <w:r w:rsidR="00473729">
        <w:rPr>
          <w:rFonts w:ascii="Calibri" w:hAnsi="Calibri" w:cs="Calibri"/>
          <w:sz w:val="22"/>
          <w:szCs w:val="22"/>
        </w:rPr>
        <w:t xml:space="preserve"> and the Department of Education.</w:t>
      </w:r>
    </w:p>
    <w:p w14:paraId="252A41AA" w14:textId="77777777" w:rsidR="00005595" w:rsidRDefault="00005595" w:rsidP="00005595">
      <w:pPr>
        <w:pStyle w:val="Default"/>
        <w:rPr>
          <w:sz w:val="22"/>
          <w:szCs w:val="22"/>
        </w:rPr>
      </w:pPr>
    </w:p>
    <w:p w14:paraId="195360A3" w14:textId="2972C289" w:rsidR="007B1855" w:rsidRDefault="009860F9" w:rsidP="00614E1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123345">
        <w:rPr>
          <w:rFonts w:asciiTheme="minorHAnsi" w:hAnsiTheme="minorHAnsi" w:cstheme="minorHAnsi"/>
          <w:sz w:val="22"/>
          <w:szCs w:val="22"/>
        </w:rPr>
        <w:t xml:space="preserve">have been briefed in two </w:t>
      </w:r>
      <w:r>
        <w:rPr>
          <w:rFonts w:asciiTheme="minorHAnsi" w:hAnsiTheme="minorHAnsi" w:cstheme="minorHAnsi"/>
          <w:sz w:val="22"/>
          <w:szCs w:val="22"/>
        </w:rPr>
        <w:t>significant matters</w:t>
      </w:r>
      <w:r w:rsidR="00005595" w:rsidRPr="00005595">
        <w:rPr>
          <w:rFonts w:asciiTheme="minorHAnsi" w:hAnsiTheme="minorHAnsi" w:cstheme="minorHAnsi"/>
          <w:sz w:val="22"/>
          <w:szCs w:val="22"/>
        </w:rPr>
        <w:t xml:space="preserve"> for the Department of Education</w:t>
      </w:r>
      <w:r w:rsidR="00123345">
        <w:rPr>
          <w:rFonts w:asciiTheme="minorHAnsi" w:hAnsiTheme="minorHAnsi" w:cstheme="minorHAnsi"/>
          <w:sz w:val="22"/>
          <w:szCs w:val="22"/>
        </w:rPr>
        <w:t>,</w:t>
      </w:r>
      <w:r w:rsidR="00005595" w:rsidRPr="00005595">
        <w:rPr>
          <w:rFonts w:asciiTheme="minorHAnsi" w:hAnsiTheme="minorHAnsi" w:cstheme="minorHAnsi"/>
          <w:sz w:val="22"/>
          <w:szCs w:val="22"/>
        </w:rPr>
        <w:t xml:space="preserve"> the Regulator of childcare </w:t>
      </w:r>
      <w:r w:rsidR="00123345">
        <w:rPr>
          <w:rFonts w:asciiTheme="minorHAnsi" w:hAnsiTheme="minorHAnsi" w:cstheme="minorHAnsi"/>
          <w:sz w:val="22"/>
          <w:szCs w:val="22"/>
        </w:rPr>
        <w:t>s</w:t>
      </w:r>
      <w:r w:rsidR="00005595" w:rsidRPr="00005595">
        <w:rPr>
          <w:rFonts w:asciiTheme="minorHAnsi" w:hAnsiTheme="minorHAnsi" w:cstheme="minorHAnsi"/>
          <w:sz w:val="22"/>
          <w:szCs w:val="22"/>
        </w:rPr>
        <w:t xml:space="preserve">ervices in New South Wales pursuant to the Children (Education and Care Services) National Law (NSW) (National Law) and the Education and Care Services National Regulations (NSW) (National Regulations). </w:t>
      </w:r>
      <w:r>
        <w:rPr>
          <w:rFonts w:asciiTheme="minorHAnsi" w:hAnsiTheme="minorHAnsi" w:cstheme="minorHAnsi"/>
          <w:sz w:val="22"/>
          <w:szCs w:val="22"/>
        </w:rPr>
        <w:t>One of those matters continues to progress</w:t>
      </w:r>
      <w:r w:rsidR="009C6EEE">
        <w:rPr>
          <w:rFonts w:asciiTheme="minorHAnsi" w:hAnsiTheme="minorHAnsi" w:cstheme="minorHAnsi"/>
          <w:sz w:val="22"/>
          <w:szCs w:val="22"/>
        </w:rPr>
        <w:t xml:space="preserve"> (MARAGOL)</w:t>
      </w:r>
      <w:r>
        <w:rPr>
          <w:rFonts w:asciiTheme="minorHAnsi" w:hAnsiTheme="minorHAnsi" w:cstheme="minorHAnsi"/>
          <w:sz w:val="22"/>
          <w:szCs w:val="22"/>
        </w:rPr>
        <w:t xml:space="preserve">, in the other </w:t>
      </w:r>
      <w:r w:rsidR="009C6EEE">
        <w:rPr>
          <w:rFonts w:asciiTheme="minorHAnsi" w:hAnsiTheme="minorHAnsi" w:cstheme="minorHAnsi"/>
          <w:sz w:val="22"/>
          <w:szCs w:val="22"/>
        </w:rPr>
        <w:t>matter (LOH)</w:t>
      </w:r>
      <w:r>
        <w:rPr>
          <w:rFonts w:asciiTheme="minorHAnsi" w:hAnsiTheme="minorHAnsi" w:cstheme="minorHAnsi"/>
          <w:sz w:val="22"/>
          <w:szCs w:val="22"/>
        </w:rPr>
        <w:t xml:space="preserve"> findings were handed down in December 2021.</w:t>
      </w:r>
    </w:p>
    <w:p w14:paraId="0B05149D" w14:textId="77777777" w:rsidR="007B1855" w:rsidRDefault="007B1855" w:rsidP="00614E1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BAB6A1" w14:textId="4B17BB05" w:rsidR="00BE56DF" w:rsidRPr="00CF640C" w:rsidRDefault="00BE56DF" w:rsidP="00614E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1855">
        <w:rPr>
          <w:rFonts w:ascii="Calibri" w:hAnsi="Calibri" w:cs="Calibri"/>
          <w:b/>
          <w:sz w:val="22"/>
          <w:szCs w:val="22"/>
          <w:u w:val="single"/>
        </w:rPr>
        <w:t>Selected Cases</w:t>
      </w:r>
      <w:r w:rsidR="00063988" w:rsidRPr="007B1855"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 w:rsidR="00473729" w:rsidRPr="00CF640C">
        <w:rPr>
          <w:rFonts w:ascii="Calibri" w:hAnsi="Calibri" w:cs="Calibri"/>
          <w:bCs/>
          <w:sz w:val="22"/>
          <w:szCs w:val="22"/>
        </w:rPr>
        <w:t xml:space="preserve">in </w:t>
      </w:r>
      <w:r w:rsidR="00063988" w:rsidRPr="00CF640C">
        <w:rPr>
          <w:rFonts w:ascii="Calibri" w:hAnsi="Calibri" w:cs="Calibri"/>
          <w:bCs/>
          <w:sz w:val="22"/>
          <w:szCs w:val="22"/>
        </w:rPr>
        <w:t>each of which</w:t>
      </w:r>
      <w:r w:rsidR="00473729" w:rsidRPr="00CF640C">
        <w:rPr>
          <w:rFonts w:ascii="Calibri" w:hAnsi="Calibri" w:cs="Calibri"/>
          <w:bCs/>
          <w:sz w:val="22"/>
          <w:szCs w:val="22"/>
        </w:rPr>
        <w:t>,</w:t>
      </w:r>
      <w:r w:rsidR="00063988" w:rsidRPr="00CF640C">
        <w:rPr>
          <w:rFonts w:ascii="Calibri" w:hAnsi="Calibri" w:cs="Calibri"/>
          <w:bCs/>
          <w:sz w:val="22"/>
          <w:szCs w:val="22"/>
        </w:rPr>
        <w:t xml:space="preserve"> I appeared for the </w:t>
      </w:r>
      <w:r w:rsidR="00063988" w:rsidRPr="009C6EEE">
        <w:rPr>
          <w:rFonts w:ascii="Calibri" w:hAnsi="Calibri" w:cs="Calibri"/>
          <w:bCs/>
          <w:sz w:val="22"/>
          <w:szCs w:val="22"/>
        </w:rPr>
        <w:t>Defendant</w:t>
      </w:r>
      <w:r w:rsidR="009860F9" w:rsidRPr="009C6EEE">
        <w:rPr>
          <w:rFonts w:ascii="Calibri" w:hAnsi="Calibri" w:cs="Calibri"/>
          <w:bCs/>
          <w:sz w:val="22"/>
          <w:szCs w:val="22"/>
        </w:rPr>
        <w:t xml:space="preserve"> </w:t>
      </w:r>
      <w:r w:rsidR="00E953A8" w:rsidRPr="00CF640C">
        <w:rPr>
          <w:rFonts w:ascii="Calibri" w:hAnsi="Calibri" w:cs="Calibri"/>
          <w:bCs/>
          <w:sz w:val="22"/>
          <w:szCs w:val="22"/>
        </w:rPr>
        <w:t xml:space="preserve">as </w:t>
      </w:r>
      <w:r w:rsidR="009860F9" w:rsidRPr="00CF640C">
        <w:rPr>
          <w:rFonts w:ascii="Calibri" w:hAnsi="Calibri" w:cs="Calibri"/>
          <w:bCs/>
          <w:sz w:val="22"/>
          <w:szCs w:val="22"/>
        </w:rPr>
        <w:t>either Counsel or Junior Counsel.</w:t>
      </w:r>
    </w:p>
    <w:p w14:paraId="45733526" w14:textId="77777777" w:rsidR="00640BDD" w:rsidRPr="00063988" w:rsidRDefault="00640BDD" w:rsidP="00786135">
      <w:pPr>
        <w:rPr>
          <w:rFonts w:ascii="Calibri" w:hAnsi="Calibri" w:cs="Calibri"/>
          <w:i/>
          <w:sz w:val="22"/>
          <w:szCs w:val="22"/>
        </w:rPr>
      </w:pPr>
    </w:p>
    <w:p w14:paraId="6FCADC14" w14:textId="77777777" w:rsidR="001576FF" w:rsidRPr="00063988" w:rsidRDefault="00640BDD" w:rsidP="00786135">
      <w:pPr>
        <w:rPr>
          <w:rFonts w:ascii="Calibri" w:hAnsi="Calibri" w:cs="Calibri"/>
          <w:b/>
          <w:sz w:val="22"/>
          <w:szCs w:val="22"/>
        </w:rPr>
      </w:pPr>
      <w:r w:rsidRPr="00063988">
        <w:rPr>
          <w:rFonts w:ascii="Calibri" w:hAnsi="Calibri" w:cs="Calibri"/>
          <w:b/>
          <w:i/>
          <w:sz w:val="22"/>
          <w:szCs w:val="22"/>
        </w:rPr>
        <w:t>A v State of New South Wales</w:t>
      </w:r>
      <w:r w:rsidRPr="00063988">
        <w:rPr>
          <w:rFonts w:ascii="Calibri" w:hAnsi="Calibri" w:cs="Calibri"/>
          <w:b/>
          <w:sz w:val="22"/>
          <w:szCs w:val="22"/>
        </w:rPr>
        <w:t xml:space="preserve"> [2007] 230 CLR 500 </w:t>
      </w:r>
    </w:p>
    <w:p w14:paraId="5469CCF9" w14:textId="1A661E47" w:rsidR="00640BDD" w:rsidRPr="00063988" w:rsidRDefault="00BF1F22" w:rsidP="00786135">
      <w:pPr>
        <w:rPr>
          <w:rFonts w:ascii="Calibri" w:hAnsi="Calibri" w:cs="Calibri"/>
          <w:sz w:val="22"/>
          <w:szCs w:val="22"/>
        </w:rPr>
      </w:pPr>
      <w:r w:rsidRPr="00063988">
        <w:rPr>
          <w:rFonts w:ascii="Calibri" w:hAnsi="Calibri" w:cs="Calibri"/>
          <w:sz w:val="22"/>
          <w:szCs w:val="22"/>
        </w:rPr>
        <w:t>(T</w:t>
      </w:r>
      <w:r w:rsidR="00640BDD" w:rsidRPr="00063988">
        <w:rPr>
          <w:rFonts w:ascii="Calibri" w:hAnsi="Calibri" w:cs="Calibri"/>
          <w:sz w:val="22"/>
          <w:szCs w:val="22"/>
        </w:rPr>
        <w:t xml:space="preserve">he leading High Court </w:t>
      </w:r>
      <w:r w:rsidR="00D45CC8" w:rsidRPr="00063988">
        <w:rPr>
          <w:rFonts w:ascii="Calibri" w:hAnsi="Calibri" w:cs="Calibri"/>
          <w:sz w:val="22"/>
          <w:szCs w:val="22"/>
        </w:rPr>
        <w:t>authority</w:t>
      </w:r>
      <w:r w:rsidR="00640BDD" w:rsidRPr="00063988">
        <w:rPr>
          <w:rFonts w:ascii="Calibri" w:hAnsi="Calibri" w:cs="Calibri"/>
          <w:sz w:val="22"/>
          <w:szCs w:val="22"/>
        </w:rPr>
        <w:t xml:space="preserve"> on the elements of the tort of malicious prosecution.</w:t>
      </w:r>
      <w:r w:rsidR="001576FF" w:rsidRPr="00063988">
        <w:rPr>
          <w:rFonts w:ascii="Calibri" w:hAnsi="Calibri" w:cs="Calibri"/>
          <w:sz w:val="22"/>
          <w:szCs w:val="22"/>
        </w:rPr>
        <w:t>)</w:t>
      </w:r>
    </w:p>
    <w:p w14:paraId="7C14BDF9" w14:textId="77777777" w:rsidR="000B62FE" w:rsidRDefault="000B62FE" w:rsidP="00D45CC8">
      <w:pPr>
        <w:rPr>
          <w:rFonts w:ascii="Calibri" w:hAnsi="Calibri" w:cs="Calibri"/>
          <w:b/>
          <w:i/>
          <w:sz w:val="22"/>
          <w:szCs w:val="22"/>
        </w:rPr>
      </w:pPr>
    </w:p>
    <w:p w14:paraId="046BAC99" w14:textId="14A43F15" w:rsidR="00D45CC8" w:rsidRPr="00063988" w:rsidRDefault="00D45CC8" w:rsidP="00D45CC8">
      <w:pPr>
        <w:rPr>
          <w:rFonts w:ascii="Calibri" w:hAnsi="Calibri" w:cs="Calibri"/>
          <w:b/>
          <w:sz w:val="22"/>
          <w:szCs w:val="22"/>
        </w:rPr>
      </w:pPr>
      <w:r w:rsidRPr="00063988">
        <w:rPr>
          <w:rFonts w:ascii="Calibri" w:hAnsi="Calibri" w:cs="Calibri"/>
          <w:b/>
          <w:i/>
          <w:sz w:val="22"/>
          <w:szCs w:val="22"/>
        </w:rPr>
        <w:t>RTA v Rolfe</w:t>
      </w:r>
      <w:r w:rsidRPr="00063988">
        <w:rPr>
          <w:rFonts w:ascii="Calibri" w:hAnsi="Calibri" w:cs="Calibri"/>
          <w:b/>
          <w:sz w:val="22"/>
          <w:szCs w:val="22"/>
        </w:rPr>
        <w:t xml:space="preserve"> [2010] NSWSC 714</w:t>
      </w:r>
    </w:p>
    <w:p w14:paraId="31C91292" w14:textId="736D2926" w:rsidR="00D45CC8" w:rsidRPr="00063988" w:rsidRDefault="00D45CC8" w:rsidP="00D45CC8">
      <w:pPr>
        <w:rPr>
          <w:rFonts w:ascii="Calibri" w:hAnsi="Calibri" w:cs="Calibri"/>
          <w:sz w:val="22"/>
          <w:szCs w:val="22"/>
        </w:rPr>
      </w:pPr>
      <w:r w:rsidRPr="00063988">
        <w:rPr>
          <w:rFonts w:ascii="Calibri" w:hAnsi="Calibri" w:cs="Calibri"/>
          <w:sz w:val="22"/>
          <w:szCs w:val="22"/>
        </w:rPr>
        <w:t>(</w:t>
      </w:r>
      <w:r w:rsidR="00BF1F22" w:rsidRPr="00063988">
        <w:rPr>
          <w:rFonts w:ascii="Calibri" w:hAnsi="Calibri" w:cs="Calibri"/>
          <w:sz w:val="22"/>
          <w:szCs w:val="22"/>
        </w:rPr>
        <w:t>C</w:t>
      </w:r>
      <w:r w:rsidRPr="00063988">
        <w:rPr>
          <w:rFonts w:ascii="Calibri" w:hAnsi="Calibri" w:cs="Calibri"/>
          <w:sz w:val="22"/>
          <w:szCs w:val="22"/>
        </w:rPr>
        <w:t>onstruction of s 102 Roads Act 1993, whether the RTA could rely on this section in circumstances where the RTA was also found to be negligent.)</w:t>
      </w:r>
    </w:p>
    <w:p w14:paraId="3501846A" w14:textId="77777777" w:rsidR="000B62FE" w:rsidRDefault="000B62FE" w:rsidP="00D45CC8">
      <w:pPr>
        <w:rPr>
          <w:rFonts w:ascii="Calibri" w:hAnsi="Calibri" w:cs="Calibri"/>
          <w:b/>
          <w:i/>
          <w:sz w:val="22"/>
          <w:szCs w:val="22"/>
        </w:rPr>
      </w:pPr>
    </w:p>
    <w:p w14:paraId="11DF87F6" w14:textId="42C9063F" w:rsidR="00D45CC8" w:rsidRPr="00063988" w:rsidRDefault="00D45CC8" w:rsidP="00D45CC8">
      <w:pPr>
        <w:rPr>
          <w:rFonts w:ascii="Calibri" w:hAnsi="Calibri" w:cs="Calibri"/>
          <w:b/>
          <w:sz w:val="22"/>
          <w:szCs w:val="22"/>
        </w:rPr>
      </w:pPr>
      <w:r w:rsidRPr="00063988">
        <w:rPr>
          <w:rFonts w:ascii="Calibri" w:hAnsi="Calibri" w:cs="Calibri"/>
          <w:b/>
          <w:i/>
          <w:sz w:val="22"/>
          <w:szCs w:val="22"/>
        </w:rPr>
        <w:t>Doherty v State of New South Wales</w:t>
      </w:r>
      <w:r w:rsidRPr="00063988">
        <w:rPr>
          <w:rFonts w:ascii="Calibri" w:hAnsi="Calibri" w:cs="Calibri"/>
          <w:b/>
          <w:sz w:val="22"/>
          <w:szCs w:val="22"/>
        </w:rPr>
        <w:t xml:space="preserve"> [2011] NSWCA 225</w:t>
      </w:r>
    </w:p>
    <w:p w14:paraId="476FA881" w14:textId="7FCD1EF6" w:rsidR="00D45CC8" w:rsidRPr="00063988" w:rsidRDefault="00D45CC8" w:rsidP="00D45CC8">
      <w:pPr>
        <w:rPr>
          <w:rFonts w:ascii="Calibri" w:hAnsi="Calibri" w:cs="Calibri"/>
          <w:i/>
          <w:sz w:val="22"/>
          <w:szCs w:val="22"/>
        </w:rPr>
      </w:pPr>
      <w:r w:rsidRPr="00063988">
        <w:rPr>
          <w:rFonts w:ascii="Calibri" w:hAnsi="Calibri" w:cs="Calibri"/>
          <w:sz w:val="22"/>
          <w:szCs w:val="22"/>
        </w:rPr>
        <w:t xml:space="preserve">(Torts, Negligence, </w:t>
      </w:r>
      <w:r w:rsidR="00BF1F22" w:rsidRPr="00063988">
        <w:rPr>
          <w:rFonts w:ascii="Calibri" w:hAnsi="Calibri" w:cs="Calibri"/>
          <w:sz w:val="22"/>
          <w:szCs w:val="22"/>
        </w:rPr>
        <w:t>e</w:t>
      </w:r>
      <w:r w:rsidRPr="00063988">
        <w:rPr>
          <w:rFonts w:ascii="Calibri" w:hAnsi="Calibri" w:cs="Calibri"/>
          <w:sz w:val="22"/>
          <w:szCs w:val="22"/>
        </w:rPr>
        <w:t xml:space="preserve">x- police officer suing employer for </w:t>
      </w:r>
      <w:r w:rsidR="008A616A">
        <w:rPr>
          <w:rFonts w:ascii="Calibri" w:hAnsi="Calibri" w:cs="Calibri"/>
          <w:sz w:val="22"/>
          <w:szCs w:val="22"/>
        </w:rPr>
        <w:t>n</w:t>
      </w:r>
      <w:r w:rsidRPr="00063988">
        <w:rPr>
          <w:rFonts w:ascii="Calibri" w:hAnsi="Calibri" w:cs="Calibri"/>
          <w:sz w:val="22"/>
          <w:szCs w:val="22"/>
        </w:rPr>
        <w:t xml:space="preserve">egligence and </w:t>
      </w:r>
      <w:r w:rsidR="008A616A">
        <w:rPr>
          <w:rFonts w:ascii="Calibri" w:hAnsi="Calibri" w:cs="Calibri"/>
          <w:sz w:val="22"/>
          <w:szCs w:val="22"/>
        </w:rPr>
        <w:t>b</w:t>
      </w:r>
      <w:r w:rsidRPr="00063988">
        <w:rPr>
          <w:rFonts w:ascii="Calibri" w:hAnsi="Calibri" w:cs="Calibri"/>
          <w:sz w:val="22"/>
          <w:szCs w:val="22"/>
        </w:rPr>
        <w:t xml:space="preserve">reach of </w:t>
      </w:r>
      <w:r w:rsidR="00EA174B">
        <w:rPr>
          <w:rFonts w:ascii="Calibri" w:hAnsi="Calibri" w:cs="Calibri"/>
          <w:sz w:val="22"/>
          <w:szCs w:val="22"/>
        </w:rPr>
        <w:t>s</w:t>
      </w:r>
      <w:r w:rsidRPr="00063988">
        <w:rPr>
          <w:rFonts w:ascii="Calibri" w:hAnsi="Calibri" w:cs="Calibri"/>
          <w:sz w:val="22"/>
          <w:szCs w:val="22"/>
        </w:rPr>
        <w:t xml:space="preserve">tatutory </w:t>
      </w:r>
      <w:r w:rsidR="008A616A">
        <w:rPr>
          <w:rFonts w:ascii="Calibri" w:hAnsi="Calibri" w:cs="Calibri"/>
          <w:sz w:val="22"/>
          <w:szCs w:val="22"/>
        </w:rPr>
        <w:t>d</w:t>
      </w:r>
      <w:r w:rsidRPr="00063988">
        <w:rPr>
          <w:rFonts w:ascii="Calibri" w:hAnsi="Calibri" w:cs="Calibri"/>
          <w:sz w:val="22"/>
          <w:szCs w:val="22"/>
        </w:rPr>
        <w:t xml:space="preserve">uty, Post Traumatic Stress Disorder, </w:t>
      </w:r>
      <w:r w:rsidR="008A616A">
        <w:rPr>
          <w:rFonts w:ascii="Calibri" w:hAnsi="Calibri" w:cs="Calibri"/>
          <w:sz w:val="22"/>
          <w:szCs w:val="22"/>
        </w:rPr>
        <w:t>v</w:t>
      </w:r>
      <w:r w:rsidRPr="00063988">
        <w:rPr>
          <w:rFonts w:ascii="Calibri" w:hAnsi="Calibri" w:cs="Calibri"/>
          <w:sz w:val="22"/>
          <w:szCs w:val="22"/>
        </w:rPr>
        <w:t xml:space="preserve">icissitudes and </w:t>
      </w:r>
      <w:r w:rsidR="008A616A">
        <w:rPr>
          <w:rFonts w:ascii="Calibri" w:hAnsi="Calibri" w:cs="Calibri"/>
          <w:sz w:val="22"/>
          <w:szCs w:val="22"/>
        </w:rPr>
        <w:t>c</w:t>
      </w:r>
      <w:r w:rsidRPr="00063988">
        <w:rPr>
          <w:rFonts w:ascii="Calibri" w:hAnsi="Calibri" w:cs="Calibri"/>
          <w:sz w:val="22"/>
          <w:szCs w:val="22"/>
        </w:rPr>
        <w:t xml:space="preserve">ontributory </w:t>
      </w:r>
      <w:r w:rsidR="008A616A">
        <w:rPr>
          <w:rFonts w:ascii="Calibri" w:hAnsi="Calibri" w:cs="Calibri"/>
          <w:sz w:val="22"/>
          <w:szCs w:val="22"/>
        </w:rPr>
        <w:t>n</w:t>
      </w:r>
      <w:r w:rsidRPr="00063988">
        <w:rPr>
          <w:rFonts w:ascii="Calibri" w:hAnsi="Calibri" w:cs="Calibri"/>
          <w:sz w:val="22"/>
          <w:szCs w:val="22"/>
        </w:rPr>
        <w:t>egligence.)</w:t>
      </w:r>
    </w:p>
    <w:p w14:paraId="21A04949" w14:textId="77777777" w:rsidR="00D45CC8" w:rsidRPr="00063988" w:rsidRDefault="00D45CC8" w:rsidP="00786135">
      <w:pPr>
        <w:rPr>
          <w:rFonts w:ascii="Calibri" w:hAnsi="Calibri" w:cs="Calibri"/>
          <w:i/>
          <w:sz w:val="22"/>
          <w:szCs w:val="22"/>
        </w:rPr>
      </w:pPr>
    </w:p>
    <w:p w14:paraId="1D2848FE" w14:textId="77777777" w:rsidR="00640BDD" w:rsidRPr="00063988" w:rsidRDefault="00640BDD" w:rsidP="00786135">
      <w:pPr>
        <w:rPr>
          <w:rFonts w:ascii="Calibri" w:hAnsi="Calibri" w:cs="Calibri"/>
          <w:b/>
          <w:sz w:val="22"/>
          <w:szCs w:val="22"/>
        </w:rPr>
      </w:pPr>
      <w:r w:rsidRPr="00063988">
        <w:rPr>
          <w:rFonts w:ascii="Calibri" w:hAnsi="Calibri" w:cs="Calibri"/>
          <w:b/>
          <w:i/>
          <w:sz w:val="22"/>
          <w:szCs w:val="22"/>
        </w:rPr>
        <w:t>Turjman v Stonewall Hotel</w:t>
      </w:r>
      <w:r w:rsidR="001576FF" w:rsidRPr="00063988">
        <w:rPr>
          <w:rFonts w:ascii="Calibri" w:hAnsi="Calibri" w:cs="Calibri"/>
          <w:b/>
          <w:i/>
          <w:sz w:val="22"/>
          <w:szCs w:val="22"/>
        </w:rPr>
        <w:t xml:space="preserve"> Pty Ltd</w:t>
      </w:r>
      <w:r w:rsidR="001576FF" w:rsidRPr="00063988">
        <w:rPr>
          <w:rFonts w:ascii="Calibri" w:hAnsi="Calibri" w:cs="Calibri"/>
          <w:b/>
          <w:sz w:val="22"/>
          <w:szCs w:val="22"/>
        </w:rPr>
        <w:t xml:space="preserve"> [2011] NSWCA 392</w:t>
      </w:r>
    </w:p>
    <w:p w14:paraId="2D84F916" w14:textId="2F9051D8" w:rsidR="001576FF" w:rsidRPr="00063988" w:rsidRDefault="001576FF" w:rsidP="00786135">
      <w:pPr>
        <w:rPr>
          <w:rFonts w:ascii="Calibri" w:hAnsi="Calibri" w:cs="Calibri"/>
          <w:sz w:val="22"/>
          <w:szCs w:val="22"/>
        </w:rPr>
      </w:pPr>
      <w:r w:rsidRPr="00063988">
        <w:rPr>
          <w:rFonts w:ascii="Calibri" w:hAnsi="Calibri" w:cs="Calibri"/>
          <w:sz w:val="22"/>
          <w:szCs w:val="22"/>
        </w:rPr>
        <w:t>(</w:t>
      </w:r>
      <w:r w:rsidR="00D468FD" w:rsidRPr="00063988">
        <w:rPr>
          <w:rFonts w:ascii="Calibri" w:hAnsi="Calibri" w:cs="Calibri"/>
          <w:sz w:val="22"/>
          <w:szCs w:val="22"/>
        </w:rPr>
        <w:t xml:space="preserve">Facts - </w:t>
      </w:r>
      <w:r w:rsidRPr="00063988">
        <w:rPr>
          <w:rFonts w:ascii="Calibri" w:hAnsi="Calibri" w:cs="Calibri"/>
          <w:sz w:val="22"/>
          <w:szCs w:val="22"/>
        </w:rPr>
        <w:t>involved the collapse of the</w:t>
      </w:r>
      <w:r w:rsidR="00D468FD" w:rsidRPr="00063988">
        <w:rPr>
          <w:rFonts w:ascii="Calibri" w:hAnsi="Calibri" w:cs="Calibri"/>
          <w:sz w:val="22"/>
          <w:szCs w:val="22"/>
        </w:rPr>
        <w:t xml:space="preserve"> Stonewall Hotel. T</w:t>
      </w:r>
      <w:r w:rsidRPr="00063988">
        <w:rPr>
          <w:rFonts w:ascii="Calibri" w:hAnsi="Calibri" w:cs="Calibri"/>
          <w:sz w:val="22"/>
          <w:szCs w:val="22"/>
        </w:rPr>
        <w:t xml:space="preserve">ort, negligence, content of duty owed by structural engineer, </w:t>
      </w:r>
      <w:r w:rsidRPr="002317AF">
        <w:rPr>
          <w:rFonts w:ascii="Calibri" w:hAnsi="Calibri" w:cs="Calibri"/>
          <w:i/>
          <w:iCs/>
          <w:sz w:val="22"/>
          <w:szCs w:val="22"/>
        </w:rPr>
        <w:t>s 5D Civil Liability Act</w:t>
      </w:r>
      <w:r w:rsidR="008A616A">
        <w:rPr>
          <w:rFonts w:ascii="Calibri" w:hAnsi="Calibri" w:cs="Calibri"/>
          <w:i/>
          <w:iCs/>
          <w:sz w:val="22"/>
          <w:szCs w:val="22"/>
        </w:rPr>
        <w:t xml:space="preserve"> 2002 (NSW)</w:t>
      </w:r>
      <w:r w:rsidR="0059431D">
        <w:rPr>
          <w:rFonts w:ascii="Calibri" w:hAnsi="Calibri" w:cs="Calibri"/>
          <w:sz w:val="22"/>
          <w:szCs w:val="22"/>
        </w:rPr>
        <w:t>.</w:t>
      </w:r>
      <w:r w:rsidRPr="00063988">
        <w:rPr>
          <w:rFonts w:ascii="Calibri" w:hAnsi="Calibri" w:cs="Calibri"/>
          <w:sz w:val="22"/>
          <w:szCs w:val="22"/>
        </w:rPr>
        <w:t>)</w:t>
      </w:r>
    </w:p>
    <w:p w14:paraId="61549F66" w14:textId="77777777" w:rsidR="001576FF" w:rsidRPr="00063988" w:rsidRDefault="001576FF" w:rsidP="00786135">
      <w:pPr>
        <w:rPr>
          <w:rFonts w:ascii="Calibri" w:hAnsi="Calibri" w:cs="Calibri"/>
          <w:sz w:val="22"/>
          <w:szCs w:val="22"/>
        </w:rPr>
      </w:pPr>
    </w:p>
    <w:p w14:paraId="0674072A" w14:textId="77777777" w:rsidR="00D45CC8" w:rsidRPr="00063988" w:rsidRDefault="00D45CC8" w:rsidP="00D45CC8">
      <w:pPr>
        <w:rPr>
          <w:rFonts w:ascii="Calibri" w:hAnsi="Calibri" w:cs="Calibri"/>
          <w:b/>
          <w:sz w:val="22"/>
          <w:szCs w:val="22"/>
        </w:rPr>
      </w:pPr>
      <w:r w:rsidRPr="00063988">
        <w:rPr>
          <w:rFonts w:ascii="Calibri" w:hAnsi="Calibri" w:cs="Calibri"/>
          <w:b/>
          <w:i/>
          <w:sz w:val="22"/>
          <w:szCs w:val="22"/>
        </w:rPr>
        <w:t>Berkeley Challenge Pty Ltd v Howarth</w:t>
      </w:r>
      <w:r w:rsidRPr="00063988">
        <w:rPr>
          <w:rFonts w:ascii="Calibri" w:hAnsi="Calibri" w:cs="Calibri"/>
          <w:b/>
          <w:sz w:val="22"/>
          <w:szCs w:val="22"/>
        </w:rPr>
        <w:t xml:space="preserve"> [2013] NSWCA 370</w:t>
      </w:r>
    </w:p>
    <w:p w14:paraId="2C439A72" w14:textId="4BAADA9D" w:rsidR="00D45CC8" w:rsidRPr="00063988" w:rsidRDefault="00D45CC8" w:rsidP="00D45CC8">
      <w:pPr>
        <w:rPr>
          <w:rFonts w:ascii="Calibri" w:hAnsi="Calibri" w:cs="Calibri"/>
          <w:sz w:val="22"/>
          <w:szCs w:val="22"/>
        </w:rPr>
      </w:pPr>
      <w:r w:rsidRPr="00063988">
        <w:rPr>
          <w:rFonts w:ascii="Calibri" w:hAnsi="Calibri" w:cs="Calibri"/>
          <w:sz w:val="22"/>
          <w:szCs w:val="22"/>
        </w:rPr>
        <w:t>(</w:t>
      </w:r>
      <w:r w:rsidRPr="002317AF">
        <w:rPr>
          <w:rFonts w:ascii="Calibri" w:hAnsi="Calibri" w:cs="Calibri"/>
          <w:i/>
          <w:iCs/>
          <w:sz w:val="22"/>
          <w:szCs w:val="22"/>
        </w:rPr>
        <w:t>s151Z Workers Compensation Act</w:t>
      </w:r>
      <w:r w:rsidR="008A616A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317AF">
        <w:rPr>
          <w:rFonts w:ascii="Calibri" w:hAnsi="Calibri" w:cs="Calibri"/>
          <w:i/>
          <w:iCs/>
          <w:sz w:val="22"/>
          <w:szCs w:val="22"/>
        </w:rPr>
        <w:t>1987</w:t>
      </w:r>
      <w:r w:rsidRPr="00063988">
        <w:rPr>
          <w:rFonts w:ascii="Calibri" w:hAnsi="Calibri" w:cs="Calibri"/>
          <w:sz w:val="22"/>
          <w:szCs w:val="22"/>
        </w:rPr>
        <w:t>, Damages</w:t>
      </w:r>
      <w:r w:rsidR="0059431D">
        <w:rPr>
          <w:rFonts w:ascii="Calibri" w:hAnsi="Calibri" w:cs="Calibri"/>
          <w:sz w:val="22"/>
          <w:szCs w:val="22"/>
        </w:rPr>
        <w:t>.</w:t>
      </w:r>
      <w:r w:rsidRPr="00063988">
        <w:rPr>
          <w:rFonts w:ascii="Calibri" w:hAnsi="Calibri" w:cs="Calibri"/>
          <w:sz w:val="22"/>
          <w:szCs w:val="22"/>
        </w:rPr>
        <w:t>)</w:t>
      </w:r>
    </w:p>
    <w:p w14:paraId="3888C621" w14:textId="77777777" w:rsidR="009F64B8" w:rsidRPr="00063988" w:rsidRDefault="009F64B8" w:rsidP="0078613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</w:tblGrid>
      <w:tr w:rsidR="009F64B8" w:rsidRPr="00063988" w14:paraId="2C87A97E" w14:textId="77777777" w:rsidTr="009F64B8">
        <w:trPr>
          <w:tblCellSpacing w:w="15" w:type="dxa"/>
        </w:trPr>
        <w:tc>
          <w:tcPr>
            <w:tcW w:w="2940" w:type="dxa"/>
            <w:hideMark/>
          </w:tcPr>
          <w:p w14:paraId="7225BB19" w14:textId="77777777" w:rsidR="009F64B8" w:rsidRPr="00063988" w:rsidRDefault="009F64B8" w:rsidP="009F64B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AU"/>
              </w:rPr>
            </w:pPr>
          </w:p>
        </w:tc>
        <w:bookmarkStart w:id="0" w:name="Catchwords"/>
        <w:bookmarkEnd w:id="0"/>
      </w:tr>
    </w:tbl>
    <w:p w14:paraId="6B7E008A" w14:textId="77777777" w:rsidR="001576FF" w:rsidRPr="00063988" w:rsidRDefault="00D468FD" w:rsidP="00786135">
      <w:pPr>
        <w:rPr>
          <w:rFonts w:ascii="Calibri" w:hAnsi="Calibri" w:cs="Calibri"/>
          <w:b/>
          <w:sz w:val="22"/>
          <w:szCs w:val="22"/>
        </w:rPr>
      </w:pPr>
      <w:r w:rsidRPr="00063988">
        <w:rPr>
          <w:rFonts w:ascii="Calibri" w:hAnsi="Calibri" w:cs="Calibri"/>
          <w:b/>
          <w:i/>
          <w:sz w:val="22"/>
          <w:szCs w:val="22"/>
        </w:rPr>
        <w:t>Waco Kwikform Ltd v Perigo &amp; Anor</w:t>
      </w:r>
      <w:r w:rsidRPr="00063988">
        <w:rPr>
          <w:rFonts w:ascii="Calibri" w:hAnsi="Calibri" w:cs="Calibri"/>
          <w:b/>
          <w:sz w:val="22"/>
          <w:szCs w:val="22"/>
        </w:rPr>
        <w:t xml:space="preserve"> [2014] NSWCA 140</w:t>
      </w:r>
    </w:p>
    <w:p w14:paraId="5BE7B00F" w14:textId="5874D4D0" w:rsidR="00D468FD" w:rsidRPr="00063988" w:rsidRDefault="00EA04E6" w:rsidP="00786135">
      <w:pPr>
        <w:rPr>
          <w:rFonts w:ascii="Calibri" w:hAnsi="Calibri" w:cs="Calibri"/>
          <w:sz w:val="22"/>
          <w:szCs w:val="22"/>
        </w:rPr>
      </w:pPr>
      <w:r w:rsidRPr="00063988">
        <w:rPr>
          <w:rFonts w:ascii="Calibri" w:hAnsi="Calibri" w:cs="Calibri"/>
          <w:sz w:val="22"/>
          <w:szCs w:val="22"/>
        </w:rPr>
        <w:t>(</w:t>
      </w:r>
      <w:r w:rsidR="00D468FD" w:rsidRPr="00063988">
        <w:rPr>
          <w:rFonts w:ascii="Calibri" w:hAnsi="Calibri" w:cs="Calibri"/>
          <w:sz w:val="22"/>
          <w:szCs w:val="22"/>
        </w:rPr>
        <w:t>Tort, negligence claim by employee of independent sub-contractor against his employer and principal sub-contractor, scope of duty of care</w:t>
      </w:r>
      <w:r w:rsidR="00B22945" w:rsidRPr="00063988">
        <w:rPr>
          <w:rFonts w:ascii="Calibri" w:hAnsi="Calibri" w:cs="Calibri"/>
          <w:sz w:val="22"/>
          <w:szCs w:val="22"/>
        </w:rPr>
        <w:t>.</w:t>
      </w:r>
      <w:r w:rsidRPr="00063988">
        <w:rPr>
          <w:rFonts w:ascii="Calibri" w:hAnsi="Calibri" w:cs="Calibri"/>
          <w:sz w:val="22"/>
          <w:szCs w:val="22"/>
        </w:rPr>
        <w:t>)</w:t>
      </w:r>
    </w:p>
    <w:p w14:paraId="750410D8" w14:textId="38073471" w:rsidR="00BF1F22" w:rsidRPr="00063988" w:rsidRDefault="00BF1F22" w:rsidP="00786135">
      <w:pPr>
        <w:rPr>
          <w:rFonts w:ascii="Calibri" w:hAnsi="Calibri" w:cs="Calibri"/>
          <w:sz w:val="22"/>
          <w:szCs w:val="22"/>
        </w:rPr>
      </w:pPr>
    </w:p>
    <w:p w14:paraId="0773A434" w14:textId="7387DC13" w:rsidR="00BF1F22" w:rsidRPr="00063988" w:rsidRDefault="00BF1F22" w:rsidP="00786135">
      <w:pPr>
        <w:rPr>
          <w:rFonts w:ascii="Calibri" w:hAnsi="Calibri" w:cs="Calibri"/>
          <w:b/>
          <w:sz w:val="22"/>
          <w:szCs w:val="22"/>
        </w:rPr>
      </w:pPr>
      <w:r w:rsidRPr="00063988">
        <w:rPr>
          <w:rFonts w:ascii="Calibri" w:hAnsi="Calibri" w:cs="Calibri"/>
          <w:b/>
          <w:i/>
          <w:sz w:val="22"/>
          <w:szCs w:val="22"/>
        </w:rPr>
        <w:t>Munro v State of NSW</w:t>
      </w:r>
      <w:r w:rsidRPr="00063988">
        <w:rPr>
          <w:rFonts w:ascii="Calibri" w:hAnsi="Calibri" w:cs="Calibri"/>
          <w:b/>
          <w:sz w:val="22"/>
          <w:szCs w:val="22"/>
        </w:rPr>
        <w:t xml:space="preserve"> [2019] NSWDC 13</w:t>
      </w:r>
    </w:p>
    <w:p w14:paraId="3E12BAC4" w14:textId="64606A96" w:rsidR="00BF1F22" w:rsidRPr="00063988" w:rsidRDefault="00BF1F22" w:rsidP="00786135">
      <w:pPr>
        <w:rPr>
          <w:rFonts w:ascii="Calibri" w:hAnsi="Calibri" w:cs="Calibri"/>
          <w:sz w:val="22"/>
          <w:szCs w:val="22"/>
        </w:rPr>
      </w:pPr>
      <w:r w:rsidRPr="00063988">
        <w:rPr>
          <w:rFonts w:ascii="Calibri" w:hAnsi="Calibri" w:cs="Calibri"/>
          <w:sz w:val="22"/>
          <w:szCs w:val="22"/>
        </w:rPr>
        <w:t>(Intentional tort, wrongful arrest, false imprisonment, Aggravated and Exemplary Damages</w:t>
      </w:r>
      <w:r w:rsidR="0059431D">
        <w:rPr>
          <w:rFonts w:ascii="Calibri" w:hAnsi="Calibri" w:cs="Calibri"/>
          <w:sz w:val="22"/>
          <w:szCs w:val="22"/>
        </w:rPr>
        <w:t>.</w:t>
      </w:r>
      <w:r w:rsidRPr="00063988">
        <w:rPr>
          <w:rFonts w:ascii="Calibri" w:hAnsi="Calibri" w:cs="Calibri"/>
          <w:sz w:val="22"/>
          <w:szCs w:val="22"/>
        </w:rPr>
        <w:t>)</w:t>
      </w:r>
    </w:p>
    <w:p w14:paraId="762BF10E" w14:textId="0ECB8F5D" w:rsidR="00D431C5" w:rsidRPr="00063988" w:rsidRDefault="00D431C5" w:rsidP="00786135">
      <w:pPr>
        <w:rPr>
          <w:rFonts w:ascii="Calibri" w:hAnsi="Calibri" w:cs="Calibri"/>
          <w:sz w:val="22"/>
          <w:szCs w:val="22"/>
        </w:rPr>
      </w:pPr>
    </w:p>
    <w:p w14:paraId="32479E34" w14:textId="5CBC1ADA" w:rsidR="00D431C5" w:rsidRPr="00063988" w:rsidRDefault="00D431C5" w:rsidP="00786135">
      <w:pPr>
        <w:rPr>
          <w:rFonts w:ascii="Calibri" w:hAnsi="Calibri" w:cs="Calibri"/>
          <w:sz w:val="22"/>
          <w:szCs w:val="22"/>
        </w:rPr>
      </w:pPr>
      <w:r w:rsidRPr="00063988">
        <w:rPr>
          <w:rFonts w:ascii="Calibri" w:hAnsi="Calibri" w:cs="Calibri"/>
          <w:b/>
          <w:bCs/>
          <w:i/>
          <w:iCs/>
          <w:sz w:val="22"/>
          <w:szCs w:val="22"/>
        </w:rPr>
        <w:t xml:space="preserve">Upton </w:t>
      </w:r>
      <w:r w:rsidR="00063988" w:rsidRPr="00063988">
        <w:rPr>
          <w:rFonts w:ascii="Calibri" w:hAnsi="Calibri" w:cs="Calibri"/>
          <w:b/>
          <w:bCs/>
          <w:i/>
          <w:iCs/>
          <w:sz w:val="22"/>
          <w:szCs w:val="22"/>
        </w:rPr>
        <w:t>v</w:t>
      </w:r>
      <w:r w:rsidRPr="00063988">
        <w:rPr>
          <w:rFonts w:ascii="Calibri" w:hAnsi="Calibri" w:cs="Calibri"/>
          <w:b/>
          <w:bCs/>
          <w:i/>
          <w:iCs/>
          <w:sz w:val="22"/>
          <w:szCs w:val="22"/>
        </w:rPr>
        <w:t xml:space="preserve"> State of NSW</w:t>
      </w:r>
      <w:r w:rsidRPr="00063988">
        <w:rPr>
          <w:rFonts w:ascii="Calibri" w:hAnsi="Calibri" w:cs="Calibri"/>
          <w:sz w:val="22"/>
          <w:szCs w:val="22"/>
        </w:rPr>
        <w:t xml:space="preserve"> </w:t>
      </w:r>
      <w:r w:rsidRPr="00063988">
        <w:rPr>
          <w:rFonts w:ascii="Calibri" w:hAnsi="Calibri" w:cs="Calibri"/>
          <w:b/>
          <w:bCs/>
          <w:sz w:val="22"/>
          <w:szCs w:val="22"/>
        </w:rPr>
        <w:t>[2019] NSWDC</w:t>
      </w:r>
      <w:r w:rsidRPr="00063988">
        <w:rPr>
          <w:rFonts w:ascii="Calibri" w:hAnsi="Calibri" w:cs="Calibri"/>
          <w:sz w:val="22"/>
          <w:szCs w:val="22"/>
        </w:rPr>
        <w:t xml:space="preserve"> unreported</w:t>
      </w:r>
      <w:r w:rsidR="00614E15">
        <w:rPr>
          <w:rFonts w:ascii="Calibri" w:hAnsi="Calibri" w:cs="Calibri"/>
          <w:sz w:val="22"/>
          <w:szCs w:val="22"/>
        </w:rPr>
        <w:t xml:space="preserve"> decision</w:t>
      </w:r>
      <w:r w:rsidRPr="00063988">
        <w:rPr>
          <w:rFonts w:ascii="Calibri" w:hAnsi="Calibri" w:cs="Calibri"/>
          <w:sz w:val="22"/>
          <w:szCs w:val="22"/>
        </w:rPr>
        <w:t>, Acting Judge Curtis</w:t>
      </w:r>
    </w:p>
    <w:p w14:paraId="06E7AABE" w14:textId="61E5DA4D" w:rsidR="00D431C5" w:rsidRDefault="00D431C5" w:rsidP="00786135">
      <w:pPr>
        <w:rPr>
          <w:rFonts w:ascii="Calibri" w:hAnsi="Calibri" w:cs="Calibri"/>
          <w:sz w:val="22"/>
          <w:szCs w:val="22"/>
        </w:rPr>
      </w:pPr>
      <w:r w:rsidRPr="00063988">
        <w:rPr>
          <w:rFonts w:ascii="Calibri" w:hAnsi="Calibri" w:cs="Calibri"/>
          <w:sz w:val="22"/>
          <w:szCs w:val="22"/>
        </w:rPr>
        <w:t xml:space="preserve"> (Intentional tort, false imprisonment, allegations of sexual misconduct against </w:t>
      </w:r>
      <w:r w:rsidR="0049505E">
        <w:rPr>
          <w:rFonts w:ascii="Calibri" w:hAnsi="Calibri" w:cs="Calibri"/>
          <w:sz w:val="22"/>
          <w:szCs w:val="22"/>
        </w:rPr>
        <w:t xml:space="preserve">police </w:t>
      </w:r>
      <w:r w:rsidRPr="00063988">
        <w:rPr>
          <w:rFonts w:ascii="Calibri" w:hAnsi="Calibri" w:cs="Calibri"/>
          <w:sz w:val="22"/>
          <w:szCs w:val="22"/>
        </w:rPr>
        <w:t>officers</w:t>
      </w:r>
      <w:r w:rsidR="0049505E">
        <w:rPr>
          <w:rFonts w:ascii="Calibri" w:hAnsi="Calibri" w:cs="Calibri"/>
          <w:sz w:val="22"/>
          <w:szCs w:val="22"/>
        </w:rPr>
        <w:t>. Verdict for the Defendant</w:t>
      </w:r>
      <w:r w:rsidR="0059431D">
        <w:rPr>
          <w:rFonts w:ascii="Calibri" w:hAnsi="Calibri" w:cs="Calibri"/>
          <w:sz w:val="22"/>
          <w:szCs w:val="22"/>
        </w:rPr>
        <w:t>.</w:t>
      </w:r>
      <w:r w:rsidRPr="00063988">
        <w:rPr>
          <w:rFonts w:ascii="Calibri" w:hAnsi="Calibri" w:cs="Calibri"/>
          <w:sz w:val="22"/>
          <w:szCs w:val="22"/>
        </w:rPr>
        <w:t>)</w:t>
      </w:r>
    </w:p>
    <w:p w14:paraId="077B0923" w14:textId="161A432F" w:rsidR="00CF640C" w:rsidRDefault="00CF640C" w:rsidP="00786135">
      <w:pPr>
        <w:rPr>
          <w:rFonts w:ascii="Calibri" w:hAnsi="Calibri" w:cs="Calibri"/>
          <w:sz w:val="22"/>
          <w:szCs w:val="22"/>
        </w:rPr>
      </w:pPr>
    </w:p>
    <w:p w14:paraId="08900FC9" w14:textId="21F86E02" w:rsidR="00CF640C" w:rsidRPr="00063988" w:rsidRDefault="00CF640C" w:rsidP="00786135">
      <w:pPr>
        <w:rPr>
          <w:rFonts w:ascii="Calibri" w:hAnsi="Calibri" w:cs="Calibri"/>
          <w:sz w:val="22"/>
          <w:szCs w:val="22"/>
        </w:rPr>
      </w:pPr>
      <w:r w:rsidRPr="00CF640C">
        <w:rPr>
          <w:rFonts w:ascii="Calibri" w:hAnsi="Calibri" w:cs="Calibri"/>
          <w:b/>
          <w:bCs/>
          <w:i/>
          <w:iCs/>
          <w:sz w:val="22"/>
          <w:szCs w:val="22"/>
        </w:rPr>
        <w:t>Inquest into the death of Redman</w:t>
      </w:r>
      <w:r>
        <w:rPr>
          <w:rFonts w:ascii="Calibri" w:hAnsi="Calibri" w:cs="Calibri"/>
          <w:sz w:val="22"/>
          <w:szCs w:val="22"/>
        </w:rPr>
        <w:t xml:space="preserve"> (2019) </w:t>
      </w:r>
      <w:r w:rsidR="000B62FE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represented </w:t>
      </w:r>
      <w:r w:rsidR="000B62FE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ambulance officers – partial arm amputation, death arising during air retrieval</w:t>
      </w:r>
      <w:r w:rsidR="0059431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)</w:t>
      </w:r>
    </w:p>
    <w:p w14:paraId="78F0D4D0" w14:textId="4A21182A" w:rsidR="00063988" w:rsidRPr="00063988" w:rsidRDefault="00063988" w:rsidP="00D431C5">
      <w:pPr>
        <w:rPr>
          <w:rFonts w:ascii="Calibri" w:hAnsi="Calibri" w:cs="Calibri"/>
          <w:sz w:val="22"/>
          <w:szCs w:val="22"/>
        </w:rPr>
      </w:pPr>
    </w:p>
    <w:p w14:paraId="72A8E3B0" w14:textId="43D3DB94" w:rsidR="00063988" w:rsidRPr="00063988" w:rsidRDefault="00063988" w:rsidP="00D431C5">
      <w:pPr>
        <w:rPr>
          <w:rFonts w:ascii="Calibri" w:hAnsi="Calibri" w:cs="Calibri"/>
          <w:sz w:val="22"/>
          <w:szCs w:val="22"/>
        </w:rPr>
      </w:pPr>
      <w:r w:rsidRPr="00063988">
        <w:rPr>
          <w:rFonts w:ascii="Calibri" w:hAnsi="Calibri" w:cs="Calibri"/>
          <w:b/>
          <w:bCs/>
          <w:i/>
          <w:iCs/>
          <w:sz w:val="22"/>
          <w:szCs w:val="22"/>
        </w:rPr>
        <w:t>SMA v John XX111 College</w:t>
      </w:r>
      <w:r>
        <w:rPr>
          <w:rFonts w:ascii="Calibri" w:hAnsi="Calibri" w:cs="Calibri"/>
          <w:sz w:val="22"/>
          <w:szCs w:val="22"/>
        </w:rPr>
        <w:t xml:space="preserve"> (No 2)</w:t>
      </w:r>
      <w:r w:rsidRPr="00063988">
        <w:rPr>
          <w:rFonts w:ascii="Calibri" w:hAnsi="Calibri" w:cs="Calibri"/>
          <w:sz w:val="22"/>
          <w:szCs w:val="22"/>
        </w:rPr>
        <w:t xml:space="preserve"> [2020] ACTSC</w:t>
      </w:r>
      <w:r>
        <w:rPr>
          <w:rFonts w:ascii="Calibri" w:hAnsi="Calibri" w:cs="Calibri"/>
          <w:sz w:val="22"/>
          <w:szCs w:val="22"/>
        </w:rPr>
        <w:t xml:space="preserve"> 211</w:t>
      </w:r>
    </w:p>
    <w:p w14:paraId="5473559A" w14:textId="59D6C909" w:rsidR="00640BDD" w:rsidRDefault="00063988" w:rsidP="00786135">
      <w:pPr>
        <w:rPr>
          <w:rFonts w:ascii="Calibri" w:hAnsi="Calibri" w:cs="Calibri"/>
          <w:sz w:val="22"/>
          <w:szCs w:val="22"/>
        </w:rPr>
      </w:pPr>
      <w:r w:rsidRPr="00063988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Tort, negligence, </w:t>
      </w:r>
      <w:r w:rsidR="0049505E">
        <w:rPr>
          <w:rFonts w:ascii="Calibri" w:hAnsi="Calibri" w:cs="Calibri"/>
          <w:sz w:val="22"/>
          <w:szCs w:val="22"/>
        </w:rPr>
        <w:t xml:space="preserve">scope of </w:t>
      </w:r>
      <w:r>
        <w:rPr>
          <w:rFonts w:ascii="Calibri" w:hAnsi="Calibri" w:cs="Calibri"/>
          <w:sz w:val="22"/>
          <w:szCs w:val="22"/>
        </w:rPr>
        <w:t>duty of care owed to university students. Involved a student</w:t>
      </w:r>
      <w:r w:rsidR="0049505E">
        <w:rPr>
          <w:rFonts w:ascii="Calibri" w:hAnsi="Calibri" w:cs="Calibri"/>
          <w:sz w:val="22"/>
          <w:szCs w:val="22"/>
        </w:rPr>
        <w:t xml:space="preserve"> who alleged she was sexually assaulted by a fellow student following a night of excessive drinking. Issues also canvassed the role of Head of College and the need to remain impartial whilst investigating the complaint – duty owed to both students involved).</w:t>
      </w:r>
      <w:r w:rsidR="009860F9">
        <w:rPr>
          <w:rFonts w:ascii="Calibri" w:hAnsi="Calibri" w:cs="Calibri"/>
          <w:sz w:val="22"/>
          <w:szCs w:val="22"/>
        </w:rPr>
        <w:t xml:space="preserve"> Appeal</w:t>
      </w:r>
      <w:r w:rsidR="00B2768E">
        <w:rPr>
          <w:rFonts w:ascii="Calibri" w:hAnsi="Calibri" w:cs="Calibri"/>
          <w:sz w:val="22"/>
          <w:szCs w:val="22"/>
        </w:rPr>
        <w:t xml:space="preserve"> 2022.</w:t>
      </w:r>
    </w:p>
    <w:p w14:paraId="6A8FC77C" w14:textId="47B11DF7" w:rsidR="000B62FE" w:rsidRDefault="000B62FE" w:rsidP="00786135">
      <w:pPr>
        <w:rPr>
          <w:rFonts w:ascii="Calibri" w:hAnsi="Calibri" w:cs="Calibri"/>
          <w:sz w:val="22"/>
          <w:szCs w:val="22"/>
        </w:rPr>
      </w:pPr>
    </w:p>
    <w:p w14:paraId="70D777A7" w14:textId="0FCA2186" w:rsidR="000B62FE" w:rsidRPr="0059431D" w:rsidRDefault="000B62FE" w:rsidP="00786135">
      <w:pPr>
        <w:rPr>
          <w:rFonts w:ascii="Calibri" w:hAnsi="Calibri" w:cs="Calibri"/>
          <w:sz w:val="22"/>
          <w:szCs w:val="22"/>
        </w:rPr>
      </w:pPr>
      <w:r w:rsidRPr="0059431D">
        <w:rPr>
          <w:rFonts w:ascii="Calibri" w:hAnsi="Calibri" w:cs="Calibri"/>
          <w:b/>
          <w:bCs/>
          <w:i/>
          <w:iCs/>
          <w:sz w:val="22"/>
          <w:szCs w:val="22"/>
        </w:rPr>
        <w:t>Gray v Wagga Wagga City Council</w:t>
      </w:r>
      <w:r w:rsidRPr="0059431D">
        <w:rPr>
          <w:rFonts w:ascii="Calibri" w:hAnsi="Calibri" w:cs="Calibri"/>
          <w:sz w:val="22"/>
          <w:szCs w:val="22"/>
        </w:rPr>
        <w:t xml:space="preserve"> [2021] NSWDC unreported decision, Acting Judge Sidis (Tort, negligence claim, walked into glass door- Verdict for the Defendant</w:t>
      </w:r>
      <w:r w:rsidR="0059431D">
        <w:rPr>
          <w:rFonts w:ascii="Calibri" w:hAnsi="Calibri" w:cs="Calibri"/>
          <w:sz w:val="22"/>
          <w:szCs w:val="22"/>
        </w:rPr>
        <w:t>.</w:t>
      </w:r>
      <w:r w:rsidRPr="0059431D">
        <w:rPr>
          <w:rFonts w:ascii="Calibri" w:hAnsi="Calibri" w:cs="Calibri"/>
          <w:sz w:val="22"/>
          <w:szCs w:val="22"/>
        </w:rPr>
        <w:t xml:space="preserve">) </w:t>
      </w:r>
    </w:p>
    <w:p w14:paraId="30257978" w14:textId="28B1BA66" w:rsidR="00631D22" w:rsidRPr="0059431D" w:rsidRDefault="00631D22" w:rsidP="00786135">
      <w:pPr>
        <w:rPr>
          <w:rFonts w:ascii="Calibri" w:hAnsi="Calibri" w:cs="Calibri"/>
          <w:sz w:val="22"/>
          <w:szCs w:val="22"/>
        </w:rPr>
      </w:pPr>
    </w:p>
    <w:p w14:paraId="4548B1AC" w14:textId="0ADECEBC" w:rsidR="00631D22" w:rsidRPr="0059431D" w:rsidRDefault="00631D22" w:rsidP="00786135">
      <w:pPr>
        <w:rPr>
          <w:rFonts w:ascii="Calibri" w:hAnsi="Calibri" w:cs="Calibri"/>
          <w:sz w:val="22"/>
          <w:szCs w:val="22"/>
        </w:rPr>
      </w:pPr>
      <w:r w:rsidRPr="0059431D">
        <w:rPr>
          <w:rFonts w:ascii="Calibri" w:hAnsi="Calibri" w:cs="Calibri"/>
          <w:b/>
          <w:bCs/>
          <w:i/>
          <w:iCs/>
          <w:sz w:val="22"/>
          <w:szCs w:val="22"/>
        </w:rPr>
        <w:t>Inquest into the death of Loh</w:t>
      </w:r>
      <w:r w:rsidRPr="0059431D">
        <w:rPr>
          <w:rFonts w:ascii="Calibri" w:hAnsi="Calibri" w:cs="Calibri"/>
          <w:sz w:val="22"/>
          <w:szCs w:val="22"/>
        </w:rPr>
        <w:t xml:space="preserve"> (2021)(represented the Department of Education, the Regulator of Child Services in NSW. Issue: whether changes should be made to the </w:t>
      </w:r>
      <w:r w:rsidRPr="0059431D">
        <w:rPr>
          <w:rFonts w:asciiTheme="minorHAnsi" w:hAnsiTheme="minorHAnsi" w:cstheme="minorHAnsi"/>
          <w:i/>
          <w:iCs/>
          <w:sz w:val="22"/>
          <w:szCs w:val="22"/>
          <w:lang w:val="en-AU"/>
        </w:rPr>
        <w:t>Children (Education and Care Services) National Law (NSW).</w:t>
      </w:r>
      <w:r w:rsidR="0059431D">
        <w:rPr>
          <w:rFonts w:asciiTheme="minorHAnsi" w:hAnsiTheme="minorHAnsi" w:cstheme="minorHAnsi"/>
          <w:i/>
          <w:iCs/>
          <w:sz w:val="22"/>
          <w:szCs w:val="22"/>
          <w:lang w:val="en-AU"/>
        </w:rPr>
        <w:t>)</w:t>
      </w:r>
    </w:p>
    <w:p w14:paraId="786C7FCD" w14:textId="756FC5DE" w:rsidR="00614E15" w:rsidRPr="0059431D" w:rsidRDefault="00614E15" w:rsidP="00786135">
      <w:pPr>
        <w:rPr>
          <w:rFonts w:ascii="Calibri" w:hAnsi="Calibri" w:cs="Calibri"/>
          <w:sz w:val="22"/>
          <w:szCs w:val="22"/>
        </w:rPr>
      </w:pPr>
    </w:p>
    <w:p w14:paraId="5C06D327" w14:textId="1B9B1EF9" w:rsidR="00614E15" w:rsidRPr="0059431D" w:rsidRDefault="00614E15" w:rsidP="00786135">
      <w:pPr>
        <w:rPr>
          <w:rFonts w:ascii="Calibri" w:hAnsi="Calibri" w:cs="Calibri"/>
          <w:sz w:val="22"/>
          <w:szCs w:val="22"/>
        </w:rPr>
      </w:pPr>
      <w:r w:rsidRPr="0059431D">
        <w:rPr>
          <w:rFonts w:ascii="Calibri" w:hAnsi="Calibri" w:cs="Calibri"/>
          <w:b/>
          <w:bCs/>
          <w:i/>
          <w:iCs/>
          <w:sz w:val="22"/>
          <w:szCs w:val="22"/>
        </w:rPr>
        <w:t>Lechowski v The State of New South Wales</w:t>
      </w:r>
      <w:r w:rsidRPr="0059431D">
        <w:rPr>
          <w:rFonts w:ascii="Calibri" w:hAnsi="Calibri" w:cs="Calibri"/>
          <w:sz w:val="22"/>
          <w:szCs w:val="22"/>
        </w:rPr>
        <w:t xml:space="preserve"> (</w:t>
      </w:r>
      <w:r w:rsidR="007B1855" w:rsidRPr="0059431D">
        <w:rPr>
          <w:rFonts w:ascii="Calibri" w:hAnsi="Calibri" w:cs="Calibri"/>
          <w:sz w:val="22"/>
          <w:szCs w:val="22"/>
        </w:rPr>
        <w:t xml:space="preserve">2022, </w:t>
      </w:r>
      <w:r w:rsidRPr="0059431D">
        <w:rPr>
          <w:rFonts w:ascii="Calibri" w:hAnsi="Calibri" w:cs="Calibri"/>
          <w:sz w:val="22"/>
          <w:szCs w:val="22"/>
        </w:rPr>
        <w:t>unreported decision, Smith J, 5 day hearing)</w:t>
      </w:r>
    </w:p>
    <w:p w14:paraId="7FF4B52F" w14:textId="66592A1D" w:rsidR="00AD2EED" w:rsidRPr="0059431D" w:rsidRDefault="00614E15" w:rsidP="00786135">
      <w:pPr>
        <w:rPr>
          <w:rFonts w:ascii="Calibri" w:hAnsi="Calibri" w:cs="Calibri"/>
          <w:sz w:val="22"/>
          <w:szCs w:val="22"/>
        </w:rPr>
      </w:pPr>
      <w:r w:rsidRPr="0059431D">
        <w:rPr>
          <w:rFonts w:ascii="Calibri" w:hAnsi="Calibri" w:cs="Calibri"/>
          <w:sz w:val="22"/>
          <w:szCs w:val="22"/>
        </w:rPr>
        <w:t xml:space="preserve">(Intentional </w:t>
      </w:r>
      <w:r w:rsidR="00944A98">
        <w:rPr>
          <w:rFonts w:ascii="Calibri" w:hAnsi="Calibri" w:cs="Calibri"/>
          <w:sz w:val="22"/>
          <w:szCs w:val="22"/>
        </w:rPr>
        <w:t>t</w:t>
      </w:r>
      <w:r w:rsidRPr="0059431D">
        <w:rPr>
          <w:rFonts w:ascii="Calibri" w:hAnsi="Calibri" w:cs="Calibri"/>
          <w:sz w:val="22"/>
          <w:szCs w:val="22"/>
        </w:rPr>
        <w:t xml:space="preserve">ort, </w:t>
      </w:r>
      <w:r w:rsidR="00944A98">
        <w:rPr>
          <w:rFonts w:ascii="Calibri" w:hAnsi="Calibri" w:cs="Calibri"/>
          <w:sz w:val="22"/>
          <w:szCs w:val="22"/>
        </w:rPr>
        <w:t>f</w:t>
      </w:r>
      <w:r w:rsidRPr="0059431D">
        <w:rPr>
          <w:rFonts w:ascii="Calibri" w:hAnsi="Calibri" w:cs="Calibri"/>
          <w:sz w:val="22"/>
          <w:szCs w:val="22"/>
        </w:rPr>
        <w:t xml:space="preserve">alse </w:t>
      </w:r>
      <w:r w:rsidR="00944A98">
        <w:rPr>
          <w:rFonts w:ascii="Calibri" w:hAnsi="Calibri" w:cs="Calibri"/>
          <w:sz w:val="22"/>
          <w:szCs w:val="22"/>
        </w:rPr>
        <w:t>i</w:t>
      </w:r>
      <w:r w:rsidRPr="0059431D">
        <w:rPr>
          <w:rFonts w:ascii="Calibri" w:hAnsi="Calibri" w:cs="Calibri"/>
          <w:sz w:val="22"/>
          <w:szCs w:val="22"/>
        </w:rPr>
        <w:t xml:space="preserve">mprisonment, </w:t>
      </w:r>
      <w:r w:rsidR="00944A98">
        <w:rPr>
          <w:rFonts w:ascii="Calibri" w:hAnsi="Calibri" w:cs="Calibri"/>
          <w:sz w:val="22"/>
          <w:szCs w:val="22"/>
        </w:rPr>
        <w:t>b</w:t>
      </w:r>
      <w:r w:rsidRPr="0059431D">
        <w:rPr>
          <w:rFonts w:ascii="Calibri" w:hAnsi="Calibri" w:cs="Calibri"/>
          <w:sz w:val="22"/>
          <w:szCs w:val="22"/>
        </w:rPr>
        <w:t xml:space="preserve">attery and </w:t>
      </w:r>
      <w:r w:rsidR="00944A98">
        <w:rPr>
          <w:rFonts w:ascii="Calibri" w:hAnsi="Calibri" w:cs="Calibri"/>
          <w:sz w:val="22"/>
          <w:szCs w:val="22"/>
        </w:rPr>
        <w:t>a</w:t>
      </w:r>
      <w:r w:rsidRPr="0059431D">
        <w:rPr>
          <w:rFonts w:ascii="Calibri" w:hAnsi="Calibri" w:cs="Calibri"/>
          <w:sz w:val="22"/>
          <w:szCs w:val="22"/>
        </w:rPr>
        <w:t>ssault. Allegations of serious misconduct by police officers. Verdict for the Defendant</w:t>
      </w:r>
      <w:r w:rsidR="0059431D">
        <w:rPr>
          <w:rFonts w:ascii="Calibri" w:hAnsi="Calibri" w:cs="Calibri"/>
          <w:sz w:val="22"/>
          <w:szCs w:val="22"/>
        </w:rPr>
        <w:t>.</w:t>
      </w:r>
      <w:r w:rsidRPr="0059431D">
        <w:rPr>
          <w:rFonts w:ascii="Calibri" w:hAnsi="Calibri" w:cs="Calibri"/>
          <w:sz w:val="22"/>
          <w:szCs w:val="22"/>
        </w:rPr>
        <w:t>)</w:t>
      </w:r>
    </w:p>
    <w:sectPr w:rsidR="00AD2EED" w:rsidRPr="0059431D" w:rsidSect="00AA6306">
      <w:footerReference w:type="default" r:id="rId8"/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3644" w14:textId="77777777" w:rsidR="00552124" w:rsidRDefault="00552124">
      <w:r>
        <w:separator/>
      </w:r>
    </w:p>
  </w:endnote>
  <w:endnote w:type="continuationSeparator" w:id="0">
    <w:p w14:paraId="4404EA4A" w14:textId="77777777" w:rsidR="00552124" w:rsidRDefault="0055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B46B" w14:textId="77777777" w:rsidR="00DA1473" w:rsidRDefault="00DA14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57C">
      <w:rPr>
        <w:noProof/>
      </w:rPr>
      <w:t>1</w:t>
    </w:r>
    <w:r>
      <w:rPr>
        <w:noProof/>
      </w:rPr>
      <w:fldChar w:fldCharType="end"/>
    </w:r>
  </w:p>
  <w:p w14:paraId="78B25B9D" w14:textId="77777777" w:rsidR="00786135" w:rsidRDefault="00786135">
    <w:pPr>
      <w:jc w:val="both"/>
      <w:rPr>
        <w:sz w:val="14"/>
        <w:szCs w:val="14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185A" w14:textId="77777777" w:rsidR="00552124" w:rsidRDefault="00552124">
      <w:r>
        <w:separator/>
      </w:r>
    </w:p>
  </w:footnote>
  <w:footnote w:type="continuationSeparator" w:id="0">
    <w:p w14:paraId="2C6E7AB6" w14:textId="77777777" w:rsidR="00552124" w:rsidRDefault="0055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ACD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name w:val="Standard"/>
    <w:lvl w:ilvl="0">
      <w:start w:val="1"/>
      <w:numFmt w:val="decimal"/>
      <w:lvlText w:val="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2B2D98"/>
    <w:multiLevelType w:val="hybridMultilevel"/>
    <w:tmpl w:val="097C3AA0"/>
    <w:lvl w:ilvl="0" w:tplc="0C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 w16cid:durableId="1504587488">
    <w:abstractNumId w:val="2"/>
  </w:num>
  <w:num w:numId="2" w16cid:durableId="94314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8BDB25-5BBF-4AC9-8024-29CDCBF75A8A}"/>
    <w:docVar w:name="dgnword-eventsink" w:val="909031064"/>
  </w:docVars>
  <w:rsids>
    <w:rsidRoot w:val="00AA6306"/>
    <w:rsid w:val="00005595"/>
    <w:rsid w:val="00057F02"/>
    <w:rsid w:val="00063988"/>
    <w:rsid w:val="000B62FE"/>
    <w:rsid w:val="00123345"/>
    <w:rsid w:val="001576FF"/>
    <w:rsid w:val="00162CFF"/>
    <w:rsid w:val="00163046"/>
    <w:rsid w:val="001C0028"/>
    <w:rsid w:val="001F06C4"/>
    <w:rsid w:val="002317AF"/>
    <w:rsid w:val="002479B6"/>
    <w:rsid w:val="00274C3C"/>
    <w:rsid w:val="002B556A"/>
    <w:rsid w:val="002B776D"/>
    <w:rsid w:val="002C77AE"/>
    <w:rsid w:val="00356D5D"/>
    <w:rsid w:val="00373EE9"/>
    <w:rsid w:val="003E7487"/>
    <w:rsid w:val="00421F10"/>
    <w:rsid w:val="00473729"/>
    <w:rsid w:val="0049505E"/>
    <w:rsid w:val="004952BD"/>
    <w:rsid w:val="004A411E"/>
    <w:rsid w:val="004E080F"/>
    <w:rsid w:val="004F25DA"/>
    <w:rsid w:val="00552124"/>
    <w:rsid w:val="0059431D"/>
    <w:rsid w:val="005E6E17"/>
    <w:rsid w:val="00611674"/>
    <w:rsid w:val="00614E15"/>
    <w:rsid w:val="00631D22"/>
    <w:rsid w:val="00640BDD"/>
    <w:rsid w:val="00690585"/>
    <w:rsid w:val="006A35AE"/>
    <w:rsid w:val="00743FD5"/>
    <w:rsid w:val="007666C6"/>
    <w:rsid w:val="00784D65"/>
    <w:rsid w:val="00786135"/>
    <w:rsid w:val="007A0B67"/>
    <w:rsid w:val="007B119F"/>
    <w:rsid w:val="007B1855"/>
    <w:rsid w:val="007D1FE5"/>
    <w:rsid w:val="007E17CD"/>
    <w:rsid w:val="008211C2"/>
    <w:rsid w:val="00835E71"/>
    <w:rsid w:val="00840A10"/>
    <w:rsid w:val="008A616A"/>
    <w:rsid w:val="00944A98"/>
    <w:rsid w:val="009860F9"/>
    <w:rsid w:val="009874E4"/>
    <w:rsid w:val="009B0A8C"/>
    <w:rsid w:val="009C2D68"/>
    <w:rsid w:val="009C6EEE"/>
    <w:rsid w:val="009F64B8"/>
    <w:rsid w:val="00A23BA7"/>
    <w:rsid w:val="00A66E1C"/>
    <w:rsid w:val="00AA4574"/>
    <w:rsid w:val="00AA6306"/>
    <w:rsid w:val="00AD2EED"/>
    <w:rsid w:val="00B22945"/>
    <w:rsid w:val="00B2768E"/>
    <w:rsid w:val="00B36A9E"/>
    <w:rsid w:val="00B61EAD"/>
    <w:rsid w:val="00BB1702"/>
    <w:rsid w:val="00BE56DF"/>
    <w:rsid w:val="00BF1F22"/>
    <w:rsid w:val="00C15109"/>
    <w:rsid w:val="00C62FD2"/>
    <w:rsid w:val="00C756E4"/>
    <w:rsid w:val="00CF640C"/>
    <w:rsid w:val="00D2657C"/>
    <w:rsid w:val="00D431C5"/>
    <w:rsid w:val="00D44E0A"/>
    <w:rsid w:val="00D45CC8"/>
    <w:rsid w:val="00D468FD"/>
    <w:rsid w:val="00DA1473"/>
    <w:rsid w:val="00DA5BF8"/>
    <w:rsid w:val="00E0782A"/>
    <w:rsid w:val="00E21138"/>
    <w:rsid w:val="00E307E5"/>
    <w:rsid w:val="00E53F5C"/>
    <w:rsid w:val="00E6487B"/>
    <w:rsid w:val="00E953A8"/>
    <w:rsid w:val="00EA04E6"/>
    <w:rsid w:val="00EA174B"/>
    <w:rsid w:val="00EA3A1E"/>
    <w:rsid w:val="00ED4B3E"/>
    <w:rsid w:val="00EF6F0A"/>
    <w:rsid w:val="00F030FB"/>
    <w:rsid w:val="00F04F6A"/>
    <w:rsid w:val="00F5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3FE566"/>
  <w15:chartTrackingRefBased/>
  <w15:docId w15:val="{F4A4DAA4-1E70-41E1-ADFA-404F1BAF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AD2EE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D2EED"/>
    <w:rPr>
      <w:sz w:val="24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rsid w:val="00AD2E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2EED"/>
    <w:rPr>
      <w:sz w:val="24"/>
      <w:szCs w:val="24"/>
      <w:lang w:val="en-US" w:eastAsia="en-AU"/>
    </w:rPr>
  </w:style>
  <w:style w:type="character" w:styleId="Hyperlink">
    <w:name w:val="Hyperlink"/>
    <w:uiPriority w:val="99"/>
    <w:unhideWhenUsed/>
    <w:rsid w:val="00B22945"/>
    <w:rPr>
      <w:color w:val="0044BB"/>
      <w:u w:val="single"/>
    </w:rPr>
  </w:style>
  <w:style w:type="paragraph" w:customStyle="1" w:styleId="Default">
    <w:name w:val="Default"/>
    <w:rsid w:val="00005595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631D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31D2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B402-045A-409E-88D2-100F71E3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 Mark Thomas McCulloch</vt:lpstr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Mark Thomas McCulloch</dc:title>
  <dc:subject/>
  <dc:creator>mmcculloch</dc:creator>
  <cp:keywords/>
  <cp:lastModifiedBy>FJC Reception</cp:lastModifiedBy>
  <cp:revision>2</cp:revision>
  <dcterms:created xsi:type="dcterms:W3CDTF">2023-06-29T02:27:00Z</dcterms:created>
  <dcterms:modified xsi:type="dcterms:W3CDTF">2023-06-29T02:27:00Z</dcterms:modified>
</cp:coreProperties>
</file>