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CB56" w14:textId="3277C9A3" w:rsidR="0029010E" w:rsidRPr="002F13D8" w:rsidRDefault="006E6009" w:rsidP="0029010E">
      <w:pPr>
        <w:pStyle w:val="Header"/>
        <w:tabs>
          <w:tab w:val="clear" w:pos="4513"/>
          <w:tab w:val="clear" w:pos="9026"/>
          <w:tab w:val="center" w:pos="4819"/>
          <w:tab w:val="left" w:pos="7878"/>
          <w:tab w:val="right" w:pos="9639"/>
        </w:tabs>
        <w:spacing w:after="120"/>
        <w:jc w:val="left"/>
        <w:rPr>
          <w:rFonts w:ascii="Arial Narrow" w:hAnsi="Arial Narrow"/>
          <w:b/>
          <w:bCs/>
          <w:sz w:val="22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="0029010E">
        <w:rPr>
          <w:rFonts w:ascii="Calibri" w:hAnsi="Calibri"/>
          <w:b/>
          <w:sz w:val="20"/>
          <w:szCs w:val="20"/>
        </w:rPr>
        <w:tab/>
      </w:r>
      <w:r w:rsidR="0029010E" w:rsidRPr="002F13D8">
        <w:rPr>
          <w:rFonts w:ascii="Arial Narrow" w:hAnsi="Arial Narrow"/>
          <w:b/>
          <w:bCs/>
          <w:sz w:val="22"/>
        </w:rPr>
        <w:t>F R E D E R I C K   J O R D A N   C H A M B E R S</w:t>
      </w:r>
    </w:p>
    <w:p w14:paraId="6F9F7BC7" w14:textId="59F8843F" w:rsidR="0029010E" w:rsidRPr="002F13D8" w:rsidRDefault="0029010E" w:rsidP="0029010E">
      <w:pPr>
        <w:pStyle w:val="Header"/>
        <w:tabs>
          <w:tab w:val="clear" w:pos="4513"/>
          <w:tab w:val="clear" w:pos="9026"/>
          <w:tab w:val="right" w:pos="9639"/>
        </w:tabs>
        <w:jc w:val="center"/>
        <w:rPr>
          <w:rFonts w:ascii="Arial Narrow" w:hAnsi="Arial Narrow"/>
          <w:sz w:val="20"/>
          <w:szCs w:val="20"/>
        </w:rPr>
      </w:pPr>
      <w:r w:rsidRPr="002F13D8">
        <w:rPr>
          <w:rFonts w:ascii="Arial Narrow" w:hAnsi="Arial Narrow"/>
          <w:sz w:val="20"/>
          <w:szCs w:val="20"/>
        </w:rPr>
        <w:t>Ground Floor, 53 Martin Place,</w:t>
      </w:r>
      <w:r w:rsidR="001A000E" w:rsidRPr="002F13D8">
        <w:rPr>
          <w:rFonts w:ascii="Arial Narrow" w:hAnsi="Arial Narrow"/>
          <w:sz w:val="20"/>
          <w:szCs w:val="20"/>
        </w:rPr>
        <w:t xml:space="preserve"> </w:t>
      </w:r>
      <w:r w:rsidRPr="002F13D8">
        <w:rPr>
          <w:rFonts w:ascii="Arial Narrow" w:hAnsi="Arial Narrow"/>
          <w:sz w:val="20"/>
          <w:szCs w:val="20"/>
        </w:rPr>
        <w:t>Sydney NSW 2000</w:t>
      </w:r>
    </w:p>
    <w:p w14:paraId="7C39D2F2" w14:textId="77777777" w:rsidR="0029010E" w:rsidRPr="002F13D8" w:rsidRDefault="0029010E" w:rsidP="0029010E">
      <w:pPr>
        <w:pStyle w:val="Header"/>
        <w:tabs>
          <w:tab w:val="clear" w:pos="4513"/>
          <w:tab w:val="clear" w:pos="9026"/>
          <w:tab w:val="right" w:pos="9639"/>
        </w:tabs>
        <w:jc w:val="center"/>
        <w:rPr>
          <w:rFonts w:ascii="Arial Narrow" w:hAnsi="Arial Narrow"/>
          <w:sz w:val="20"/>
          <w:szCs w:val="20"/>
        </w:rPr>
      </w:pPr>
      <w:r w:rsidRPr="002F13D8">
        <w:rPr>
          <w:rFonts w:ascii="Arial Narrow" w:hAnsi="Arial Narrow"/>
          <w:sz w:val="20"/>
          <w:szCs w:val="20"/>
        </w:rPr>
        <w:t>T +61 2 9229 73</w:t>
      </w:r>
      <w:r w:rsidR="00A13C3B" w:rsidRPr="002F13D8">
        <w:rPr>
          <w:rFonts w:ascii="Arial Narrow" w:hAnsi="Arial Narrow"/>
          <w:sz w:val="20"/>
          <w:szCs w:val="20"/>
        </w:rPr>
        <w:t>22</w:t>
      </w:r>
      <w:r w:rsidRPr="002F13D8">
        <w:rPr>
          <w:rFonts w:ascii="Arial Narrow" w:hAnsi="Arial Narrow"/>
          <w:sz w:val="20"/>
          <w:szCs w:val="20"/>
        </w:rPr>
        <w:t xml:space="preserve">   F +61 2 </w:t>
      </w:r>
      <w:r w:rsidR="00A13C3B" w:rsidRPr="002F13D8">
        <w:rPr>
          <w:rFonts w:ascii="Arial Narrow" w:hAnsi="Arial Narrow"/>
          <w:sz w:val="20"/>
          <w:szCs w:val="20"/>
        </w:rPr>
        <w:t>9210 0580</w:t>
      </w:r>
    </w:p>
    <w:p w14:paraId="515E8EF1" w14:textId="77777777" w:rsidR="0029010E" w:rsidRPr="002F13D8" w:rsidRDefault="0029010E" w:rsidP="0029010E">
      <w:pPr>
        <w:pStyle w:val="Header"/>
        <w:tabs>
          <w:tab w:val="clear" w:pos="4513"/>
          <w:tab w:val="clear" w:pos="9026"/>
          <w:tab w:val="right" w:pos="9639"/>
        </w:tabs>
        <w:jc w:val="center"/>
        <w:rPr>
          <w:rFonts w:ascii="Arial Narrow" w:hAnsi="Arial Narrow"/>
          <w:sz w:val="20"/>
          <w:szCs w:val="20"/>
        </w:rPr>
      </w:pPr>
      <w:r w:rsidRPr="002F13D8">
        <w:rPr>
          <w:rFonts w:ascii="Arial Narrow" w:hAnsi="Arial Narrow"/>
          <w:sz w:val="20"/>
          <w:szCs w:val="20"/>
        </w:rPr>
        <w:t xml:space="preserve">E </w:t>
      </w:r>
      <w:r w:rsidR="00A13C3B" w:rsidRPr="002F13D8">
        <w:rPr>
          <w:rFonts w:ascii="Arial Narrow" w:hAnsi="Arial Narrow"/>
          <w:sz w:val="20"/>
          <w:szCs w:val="20"/>
        </w:rPr>
        <w:t>anna.perigo</w:t>
      </w:r>
      <w:r w:rsidRPr="002F13D8">
        <w:rPr>
          <w:rFonts w:ascii="Arial Narrow" w:hAnsi="Arial Narrow"/>
          <w:sz w:val="20"/>
          <w:szCs w:val="20"/>
        </w:rPr>
        <w:t>@fjc.net.au</w:t>
      </w:r>
    </w:p>
    <w:p w14:paraId="339E854C" w14:textId="77777777" w:rsidR="0029010E" w:rsidRPr="00E71021" w:rsidRDefault="0029010E" w:rsidP="0029010E">
      <w:pPr>
        <w:pBdr>
          <w:bottom w:val="single" w:sz="12" w:space="1" w:color="auto"/>
        </w:pBdr>
        <w:spacing w:after="240" w:line="240" w:lineRule="auto"/>
        <w:rPr>
          <w:rFonts w:ascii="Calibri" w:hAnsi="Calibri"/>
        </w:rPr>
      </w:pPr>
    </w:p>
    <w:p w14:paraId="636C94F7" w14:textId="77777777" w:rsidR="007861D7" w:rsidRPr="002F13D8" w:rsidRDefault="007861D7" w:rsidP="007861D7">
      <w:pPr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>Called to the Bar in 2009, Anna specialises in employment and industrial law</w:t>
      </w:r>
      <w:r w:rsidR="0091714C" w:rsidRPr="002F13D8">
        <w:rPr>
          <w:rFonts w:ascii="Arial Narrow" w:hAnsi="Arial Narrow"/>
          <w:szCs w:val="24"/>
        </w:rPr>
        <w:t>,</w:t>
      </w:r>
      <w:r w:rsidR="00E03A20" w:rsidRPr="002F13D8">
        <w:rPr>
          <w:rFonts w:ascii="Arial Narrow" w:hAnsi="Arial Narrow"/>
          <w:szCs w:val="24"/>
        </w:rPr>
        <w:t xml:space="preserve"> </w:t>
      </w:r>
      <w:r w:rsidRPr="002F13D8">
        <w:rPr>
          <w:rFonts w:ascii="Arial Narrow" w:hAnsi="Arial Narrow"/>
          <w:szCs w:val="24"/>
        </w:rPr>
        <w:t>discrimination law</w:t>
      </w:r>
      <w:r w:rsidR="00E03A20" w:rsidRPr="002F13D8">
        <w:rPr>
          <w:rFonts w:ascii="Arial Narrow" w:hAnsi="Arial Narrow"/>
          <w:szCs w:val="24"/>
        </w:rPr>
        <w:t xml:space="preserve"> and</w:t>
      </w:r>
      <w:r w:rsidR="008E6DB4" w:rsidRPr="002F13D8">
        <w:rPr>
          <w:rFonts w:ascii="Arial Narrow" w:hAnsi="Arial Narrow"/>
          <w:szCs w:val="24"/>
        </w:rPr>
        <w:t xml:space="preserve"> </w:t>
      </w:r>
      <w:r w:rsidR="00E03A20" w:rsidRPr="002F13D8">
        <w:rPr>
          <w:rFonts w:ascii="Arial Narrow" w:hAnsi="Arial Narrow"/>
          <w:szCs w:val="24"/>
        </w:rPr>
        <w:t>administrative law.</w:t>
      </w:r>
    </w:p>
    <w:p w14:paraId="579BB832" w14:textId="22F8142A" w:rsidR="007861D7" w:rsidRPr="002F13D8" w:rsidRDefault="007861D7" w:rsidP="007861D7">
      <w:pPr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 xml:space="preserve">She </w:t>
      </w:r>
      <w:r w:rsidR="00E03A20" w:rsidRPr="002F13D8">
        <w:rPr>
          <w:rFonts w:ascii="Arial Narrow" w:hAnsi="Arial Narrow"/>
          <w:szCs w:val="24"/>
        </w:rPr>
        <w:t xml:space="preserve">appears in cases </w:t>
      </w:r>
      <w:r w:rsidRPr="002F13D8">
        <w:rPr>
          <w:rFonts w:ascii="Arial Narrow" w:hAnsi="Arial Narrow"/>
          <w:szCs w:val="24"/>
        </w:rPr>
        <w:t xml:space="preserve">for clients in Federal and State courts and industrial tribunals, including </w:t>
      </w:r>
      <w:r w:rsidR="00E03A20" w:rsidRPr="002F13D8">
        <w:rPr>
          <w:rFonts w:ascii="Arial Narrow" w:hAnsi="Arial Narrow"/>
          <w:szCs w:val="24"/>
        </w:rPr>
        <w:t xml:space="preserve">the Federal Circuit </w:t>
      </w:r>
      <w:r w:rsidR="007F741E" w:rsidRPr="002F13D8">
        <w:rPr>
          <w:rFonts w:ascii="Arial Narrow" w:hAnsi="Arial Narrow"/>
          <w:szCs w:val="24"/>
        </w:rPr>
        <w:t xml:space="preserve">and Family </w:t>
      </w:r>
      <w:r w:rsidR="00E03A20" w:rsidRPr="002F13D8">
        <w:rPr>
          <w:rFonts w:ascii="Arial Narrow" w:hAnsi="Arial Narrow"/>
          <w:szCs w:val="24"/>
        </w:rPr>
        <w:t>Court</w:t>
      </w:r>
      <w:r w:rsidR="007F741E" w:rsidRPr="002F13D8">
        <w:rPr>
          <w:rFonts w:ascii="Arial Narrow" w:hAnsi="Arial Narrow"/>
          <w:szCs w:val="24"/>
        </w:rPr>
        <w:t xml:space="preserve"> of Australia</w:t>
      </w:r>
      <w:r w:rsidR="00E03A20" w:rsidRPr="002F13D8">
        <w:rPr>
          <w:rFonts w:ascii="Arial Narrow" w:hAnsi="Arial Narrow"/>
          <w:szCs w:val="24"/>
        </w:rPr>
        <w:t xml:space="preserve">, </w:t>
      </w:r>
      <w:r w:rsidR="00682332" w:rsidRPr="002F13D8">
        <w:rPr>
          <w:rFonts w:ascii="Arial Narrow" w:hAnsi="Arial Narrow"/>
          <w:szCs w:val="24"/>
        </w:rPr>
        <w:t xml:space="preserve">the </w:t>
      </w:r>
      <w:r w:rsidR="00E03A20" w:rsidRPr="002F13D8">
        <w:rPr>
          <w:rFonts w:ascii="Arial Narrow" w:hAnsi="Arial Narrow"/>
          <w:szCs w:val="24"/>
        </w:rPr>
        <w:t xml:space="preserve">Federal Court of Australia, </w:t>
      </w:r>
      <w:r w:rsidRPr="002F13D8">
        <w:rPr>
          <w:rFonts w:ascii="Arial Narrow" w:hAnsi="Arial Narrow"/>
          <w:szCs w:val="24"/>
        </w:rPr>
        <w:t xml:space="preserve">the Fair Work </w:t>
      </w:r>
      <w:r w:rsidR="004470A0" w:rsidRPr="002F13D8">
        <w:rPr>
          <w:rFonts w:ascii="Arial Narrow" w:hAnsi="Arial Narrow"/>
          <w:szCs w:val="24"/>
        </w:rPr>
        <w:t>Commission,</w:t>
      </w:r>
      <w:r w:rsidRPr="002F13D8">
        <w:rPr>
          <w:rFonts w:ascii="Arial Narrow" w:hAnsi="Arial Narrow"/>
          <w:szCs w:val="24"/>
        </w:rPr>
        <w:t xml:space="preserve"> and Industrial Relations Commission</w:t>
      </w:r>
      <w:r w:rsidR="00E03A20" w:rsidRPr="002F13D8">
        <w:rPr>
          <w:rFonts w:ascii="Arial Narrow" w:hAnsi="Arial Narrow"/>
          <w:szCs w:val="24"/>
        </w:rPr>
        <w:t xml:space="preserve"> of New South Wales</w:t>
      </w:r>
      <w:r w:rsidR="00112047" w:rsidRPr="002F13D8">
        <w:rPr>
          <w:rFonts w:ascii="Arial Narrow" w:hAnsi="Arial Narrow"/>
          <w:szCs w:val="24"/>
        </w:rPr>
        <w:t>,</w:t>
      </w:r>
      <w:r w:rsidR="00E03A20" w:rsidRPr="002F13D8">
        <w:rPr>
          <w:rFonts w:ascii="Arial Narrow" w:hAnsi="Arial Narrow"/>
          <w:szCs w:val="24"/>
        </w:rPr>
        <w:t xml:space="preserve"> and </w:t>
      </w:r>
      <w:r w:rsidRPr="002F13D8">
        <w:rPr>
          <w:rFonts w:ascii="Arial Narrow" w:hAnsi="Arial Narrow"/>
          <w:szCs w:val="24"/>
        </w:rPr>
        <w:t>the New South Wales Civil and Administrative Tribunal</w:t>
      </w:r>
      <w:r w:rsidR="00E03A20" w:rsidRPr="002F13D8">
        <w:rPr>
          <w:rFonts w:ascii="Arial Narrow" w:hAnsi="Arial Narrow"/>
          <w:szCs w:val="24"/>
        </w:rPr>
        <w:t>.</w:t>
      </w:r>
      <w:r w:rsidRPr="002F13D8">
        <w:rPr>
          <w:rFonts w:ascii="Arial Narrow" w:hAnsi="Arial Narrow"/>
          <w:szCs w:val="24"/>
        </w:rPr>
        <w:t xml:space="preserve"> </w:t>
      </w:r>
    </w:p>
    <w:p w14:paraId="0BF648A8" w14:textId="4667B775" w:rsidR="007861D7" w:rsidRPr="002F13D8" w:rsidRDefault="007861D7" w:rsidP="007861D7">
      <w:pPr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 xml:space="preserve">The depth of her </w:t>
      </w:r>
      <w:r w:rsidR="00AE1363" w:rsidRPr="002F13D8">
        <w:rPr>
          <w:rFonts w:ascii="Arial Narrow" w:hAnsi="Arial Narrow"/>
          <w:szCs w:val="24"/>
        </w:rPr>
        <w:t xml:space="preserve">litigation </w:t>
      </w:r>
      <w:r w:rsidR="007E46EA" w:rsidRPr="002F13D8">
        <w:rPr>
          <w:rFonts w:ascii="Arial Narrow" w:hAnsi="Arial Narrow"/>
          <w:szCs w:val="24"/>
        </w:rPr>
        <w:t>practice has seen Anna appear</w:t>
      </w:r>
      <w:r w:rsidR="008A54FD" w:rsidRPr="002F13D8">
        <w:rPr>
          <w:rFonts w:ascii="Arial Narrow" w:hAnsi="Arial Narrow"/>
          <w:szCs w:val="24"/>
        </w:rPr>
        <w:t xml:space="preserve"> in matters at first instance and on appeal</w:t>
      </w:r>
      <w:r w:rsidR="00744BD9" w:rsidRPr="002F13D8">
        <w:rPr>
          <w:rFonts w:ascii="Arial Narrow" w:hAnsi="Arial Narrow"/>
          <w:szCs w:val="24"/>
        </w:rPr>
        <w:t>,</w:t>
      </w:r>
      <w:r w:rsidR="008A54FD" w:rsidRPr="002F13D8">
        <w:rPr>
          <w:rFonts w:ascii="Arial Narrow" w:hAnsi="Arial Narrow"/>
          <w:szCs w:val="24"/>
        </w:rPr>
        <w:t xml:space="preserve"> and</w:t>
      </w:r>
      <w:r w:rsidR="00744BD9" w:rsidRPr="002F13D8">
        <w:rPr>
          <w:rFonts w:ascii="Arial Narrow" w:hAnsi="Arial Narrow"/>
          <w:szCs w:val="24"/>
        </w:rPr>
        <w:t xml:space="preserve"> in interlocutory hearings. </w:t>
      </w:r>
      <w:r w:rsidRPr="002F13D8">
        <w:rPr>
          <w:rFonts w:ascii="Arial Narrow" w:hAnsi="Arial Narrow"/>
          <w:szCs w:val="24"/>
        </w:rPr>
        <w:t>She regularly appears both led and unled in a broad range of employment matters, including</w:t>
      </w:r>
      <w:r w:rsidR="00E03A20" w:rsidRPr="002F13D8">
        <w:rPr>
          <w:rFonts w:ascii="Arial Narrow" w:hAnsi="Arial Narrow"/>
          <w:szCs w:val="24"/>
        </w:rPr>
        <w:t xml:space="preserve"> </w:t>
      </w:r>
      <w:r w:rsidR="005160BE" w:rsidRPr="002F13D8">
        <w:rPr>
          <w:rFonts w:ascii="Arial Narrow" w:hAnsi="Arial Narrow"/>
          <w:szCs w:val="24"/>
        </w:rPr>
        <w:t xml:space="preserve">proceedings involving </w:t>
      </w:r>
      <w:r w:rsidR="00E03A20" w:rsidRPr="002F13D8">
        <w:rPr>
          <w:rFonts w:ascii="Arial Narrow" w:hAnsi="Arial Narrow"/>
          <w:szCs w:val="24"/>
        </w:rPr>
        <w:t>discrimination</w:t>
      </w:r>
      <w:r w:rsidR="00682332" w:rsidRPr="002F13D8">
        <w:rPr>
          <w:rFonts w:ascii="Arial Narrow" w:hAnsi="Arial Narrow"/>
          <w:szCs w:val="24"/>
        </w:rPr>
        <w:t xml:space="preserve"> claims, ent</w:t>
      </w:r>
      <w:r w:rsidR="005160BE" w:rsidRPr="002F13D8">
        <w:rPr>
          <w:rFonts w:ascii="Arial Narrow" w:hAnsi="Arial Narrow"/>
          <w:szCs w:val="24"/>
        </w:rPr>
        <w:t>erprise agree</w:t>
      </w:r>
      <w:r w:rsidR="008E6DB4" w:rsidRPr="002F13D8">
        <w:rPr>
          <w:rFonts w:ascii="Arial Narrow" w:hAnsi="Arial Narrow"/>
          <w:szCs w:val="24"/>
        </w:rPr>
        <w:t>m</w:t>
      </w:r>
      <w:r w:rsidR="005160BE" w:rsidRPr="002F13D8">
        <w:rPr>
          <w:rFonts w:ascii="Arial Narrow" w:hAnsi="Arial Narrow"/>
          <w:szCs w:val="24"/>
        </w:rPr>
        <w:t xml:space="preserve">ents, </w:t>
      </w:r>
      <w:r w:rsidRPr="002F13D8">
        <w:rPr>
          <w:rFonts w:ascii="Arial Narrow" w:hAnsi="Arial Narrow"/>
          <w:szCs w:val="24"/>
        </w:rPr>
        <w:t>award making and interpretation</w:t>
      </w:r>
      <w:r w:rsidR="002B52DC" w:rsidRPr="002F13D8">
        <w:rPr>
          <w:rFonts w:ascii="Arial Narrow" w:hAnsi="Arial Narrow"/>
          <w:szCs w:val="24"/>
        </w:rPr>
        <w:t>,</w:t>
      </w:r>
      <w:r w:rsidRPr="002F13D8">
        <w:rPr>
          <w:rFonts w:ascii="Arial Narrow" w:hAnsi="Arial Narrow"/>
          <w:szCs w:val="24"/>
        </w:rPr>
        <w:t xml:space="preserve"> </w:t>
      </w:r>
      <w:r w:rsidR="004470A0" w:rsidRPr="002F13D8">
        <w:rPr>
          <w:rFonts w:ascii="Arial Narrow" w:hAnsi="Arial Narrow"/>
          <w:szCs w:val="24"/>
        </w:rPr>
        <w:t>contraventions,</w:t>
      </w:r>
      <w:r w:rsidR="005160BE" w:rsidRPr="002F13D8">
        <w:rPr>
          <w:rFonts w:ascii="Arial Narrow" w:hAnsi="Arial Narrow"/>
          <w:szCs w:val="24"/>
        </w:rPr>
        <w:t xml:space="preserve"> </w:t>
      </w:r>
      <w:r w:rsidRPr="002F13D8">
        <w:rPr>
          <w:rFonts w:ascii="Arial Narrow" w:hAnsi="Arial Narrow"/>
          <w:szCs w:val="24"/>
        </w:rPr>
        <w:t xml:space="preserve">and </w:t>
      </w:r>
      <w:r w:rsidR="00E03A20" w:rsidRPr="002F13D8">
        <w:rPr>
          <w:rFonts w:ascii="Arial Narrow" w:hAnsi="Arial Narrow"/>
          <w:szCs w:val="24"/>
        </w:rPr>
        <w:t xml:space="preserve">unfair dismissals. </w:t>
      </w:r>
    </w:p>
    <w:p w14:paraId="024E1D7E" w14:textId="54C746C5" w:rsidR="007861D7" w:rsidRPr="002F13D8" w:rsidRDefault="007861D7" w:rsidP="007861D7">
      <w:pPr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 xml:space="preserve">Prior to being called to the Bar, Anna gained considerable industry experience in her fields of practice, having worked for employer associations, a large Australian </w:t>
      </w:r>
      <w:r w:rsidR="004470A0" w:rsidRPr="002F13D8">
        <w:rPr>
          <w:rFonts w:ascii="Arial Narrow" w:hAnsi="Arial Narrow"/>
          <w:szCs w:val="24"/>
        </w:rPr>
        <w:t>corporation,</w:t>
      </w:r>
      <w:r w:rsidRPr="002F13D8">
        <w:rPr>
          <w:rFonts w:ascii="Arial Narrow" w:hAnsi="Arial Narrow"/>
          <w:szCs w:val="24"/>
        </w:rPr>
        <w:t xml:space="preserve"> and a Federal Government business enterprise. Such experience, coupled with her legal experience as a barrister, provides her with a solid foundation upon which to provide high quality representation to her clients.</w:t>
      </w:r>
    </w:p>
    <w:p w14:paraId="09CE10B1" w14:textId="51169D72" w:rsidR="007861D7" w:rsidRPr="002F13D8" w:rsidRDefault="007861D7" w:rsidP="007861D7">
      <w:pPr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>Anna regularly attends mediation</w:t>
      </w:r>
      <w:r w:rsidR="004567DA" w:rsidRPr="002F13D8">
        <w:rPr>
          <w:rFonts w:ascii="Arial Narrow" w:hAnsi="Arial Narrow"/>
          <w:szCs w:val="24"/>
        </w:rPr>
        <w:t>s</w:t>
      </w:r>
      <w:r w:rsidRPr="002F13D8">
        <w:rPr>
          <w:rFonts w:ascii="Arial Narrow" w:hAnsi="Arial Narrow"/>
          <w:szCs w:val="24"/>
        </w:rPr>
        <w:t xml:space="preserve"> on behalf of her clients. In addition t</w:t>
      </w:r>
      <w:r w:rsidR="002B52DC" w:rsidRPr="002F13D8">
        <w:rPr>
          <w:rFonts w:ascii="Arial Narrow" w:hAnsi="Arial Narrow"/>
          <w:szCs w:val="24"/>
        </w:rPr>
        <w:t>o her legal qualifications, she</w:t>
      </w:r>
      <w:r w:rsidRPr="002F13D8">
        <w:rPr>
          <w:rFonts w:ascii="Arial Narrow" w:hAnsi="Arial Narrow"/>
          <w:szCs w:val="24"/>
        </w:rPr>
        <w:t xml:space="preserve"> holds a Bachelor of Economics and a Graduate Diploma in Employment Relations.</w:t>
      </w:r>
    </w:p>
    <w:p w14:paraId="41630655" w14:textId="77777777" w:rsidR="0029010E" w:rsidRPr="00205EF6" w:rsidRDefault="0029010E" w:rsidP="0029010E">
      <w:pPr>
        <w:pBdr>
          <w:bottom w:val="single" w:sz="12" w:space="1" w:color="auto"/>
        </w:pBdr>
        <w:spacing w:after="240" w:line="240" w:lineRule="auto"/>
        <w:rPr>
          <w:rFonts w:ascii="Calibri" w:hAnsi="Calibri"/>
        </w:rPr>
      </w:pPr>
    </w:p>
    <w:p w14:paraId="0EF6C5E9" w14:textId="77777777" w:rsidR="0029010E" w:rsidRPr="002F13D8" w:rsidRDefault="0029010E" w:rsidP="0029010E">
      <w:pPr>
        <w:spacing w:before="120" w:after="12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ADMISSIONS TO PRACTICE</w:t>
      </w:r>
    </w:p>
    <w:p w14:paraId="2C133A70" w14:textId="77777777" w:rsidR="001A000E" w:rsidRPr="002F13D8" w:rsidRDefault="001C1A1F" w:rsidP="001A000E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szCs w:val="24"/>
        </w:rPr>
        <w:t>2009</w:t>
      </w:r>
      <w:r w:rsidR="001A000E" w:rsidRPr="002F13D8">
        <w:rPr>
          <w:rFonts w:ascii="Arial Narrow" w:hAnsi="Arial Narrow" w:cs="Times New Roman"/>
          <w:szCs w:val="24"/>
        </w:rPr>
        <w:tab/>
      </w:r>
      <w:r w:rsidR="00025343" w:rsidRPr="002F13D8">
        <w:rPr>
          <w:rFonts w:ascii="Arial Narrow" w:hAnsi="Arial Narrow" w:cs="Times New Roman"/>
          <w:szCs w:val="24"/>
        </w:rPr>
        <w:tab/>
      </w:r>
      <w:r w:rsidR="001A000E" w:rsidRPr="002F13D8">
        <w:rPr>
          <w:rFonts w:ascii="Arial Narrow" w:hAnsi="Arial Narrow" w:cs="Times New Roman"/>
          <w:szCs w:val="24"/>
        </w:rPr>
        <w:t>Admitted to the Bar of New South Wales</w:t>
      </w:r>
      <w:r w:rsidR="001A000E" w:rsidRPr="002F13D8">
        <w:rPr>
          <w:rFonts w:ascii="Arial Narrow" w:hAnsi="Arial Narrow"/>
          <w:szCs w:val="24"/>
        </w:rPr>
        <w:t xml:space="preserve"> </w:t>
      </w:r>
    </w:p>
    <w:p w14:paraId="78B59667" w14:textId="77777777" w:rsidR="001A000E" w:rsidRPr="002F13D8" w:rsidRDefault="001C1A1F" w:rsidP="001A000E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>2004</w:t>
      </w:r>
      <w:r w:rsidR="001A000E" w:rsidRPr="002F13D8">
        <w:rPr>
          <w:rFonts w:ascii="Arial Narrow" w:hAnsi="Arial Narrow"/>
          <w:szCs w:val="24"/>
        </w:rPr>
        <w:tab/>
      </w:r>
      <w:r w:rsidR="00025343" w:rsidRPr="002F13D8">
        <w:rPr>
          <w:rFonts w:ascii="Arial Narrow" w:hAnsi="Arial Narrow"/>
          <w:szCs w:val="24"/>
        </w:rPr>
        <w:tab/>
      </w:r>
      <w:r w:rsidR="001A000E" w:rsidRPr="002F13D8">
        <w:rPr>
          <w:rFonts w:ascii="Arial Narrow" w:hAnsi="Arial Narrow" w:cs="Times New Roman"/>
          <w:szCs w:val="24"/>
        </w:rPr>
        <w:t>Admitted as a Solicitor of the Supreme Court of New South Wales</w:t>
      </w:r>
    </w:p>
    <w:p w14:paraId="6957E4B4" w14:textId="77777777" w:rsidR="0029010E" w:rsidRPr="002F13D8" w:rsidRDefault="0029010E" w:rsidP="0029010E">
      <w:pPr>
        <w:spacing w:before="240" w:after="12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PROFESSIONAL QUALIFICATIONS</w:t>
      </w:r>
    </w:p>
    <w:p w14:paraId="6BEDADD2" w14:textId="77777777" w:rsidR="001C1A1F" w:rsidRPr="002F13D8" w:rsidRDefault="001C1A1F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szCs w:val="24"/>
        </w:rPr>
        <w:t>Bachelor of Economics: Macquarie University</w:t>
      </w:r>
    </w:p>
    <w:p w14:paraId="183248BA" w14:textId="77777777" w:rsidR="001C1A1F" w:rsidRPr="002F13D8" w:rsidRDefault="001C1A1F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szCs w:val="24"/>
        </w:rPr>
        <w:t xml:space="preserve">Graduate Diploma </w:t>
      </w:r>
      <w:r w:rsidR="00FB0481" w:rsidRPr="002F13D8">
        <w:rPr>
          <w:rFonts w:ascii="Arial Narrow" w:hAnsi="Arial Narrow" w:cs="Times New Roman"/>
          <w:szCs w:val="24"/>
        </w:rPr>
        <w:t xml:space="preserve">in </w:t>
      </w:r>
      <w:r w:rsidRPr="002F13D8">
        <w:rPr>
          <w:rFonts w:ascii="Arial Narrow" w:hAnsi="Arial Narrow" w:cs="Times New Roman"/>
          <w:szCs w:val="24"/>
        </w:rPr>
        <w:t>Employment Relations: University of Western Sydney</w:t>
      </w:r>
      <w:r w:rsidR="00777F3D" w:rsidRPr="002F13D8">
        <w:rPr>
          <w:rFonts w:ascii="Arial Narrow" w:hAnsi="Arial Narrow" w:cs="Times New Roman"/>
          <w:szCs w:val="24"/>
        </w:rPr>
        <w:t>, Nepean</w:t>
      </w:r>
    </w:p>
    <w:p w14:paraId="5C1CCFBA" w14:textId="1CA8DD78" w:rsidR="001C1A1F" w:rsidRPr="002F13D8" w:rsidRDefault="001C1A1F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szCs w:val="24"/>
        </w:rPr>
        <w:t>Dip</w:t>
      </w:r>
      <w:r w:rsidR="000A7894" w:rsidRPr="002F13D8">
        <w:rPr>
          <w:rFonts w:ascii="Arial Narrow" w:hAnsi="Arial Narrow" w:cs="Times New Roman"/>
          <w:szCs w:val="24"/>
        </w:rPr>
        <w:t xml:space="preserve">loma of Law: </w:t>
      </w:r>
      <w:r w:rsidR="009D155E" w:rsidRPr="002F13D8">
        <w:rPr>
          <w:rFonts w:ascii="Arial Narrow" w:hAnsi="Arial Narrow" w:cs="Times New Roman"/>
          <w:szCs w:val="24"/>
        </w:rPr>
        <w:t>LPAB</w:t>
      </w:r>
    </w:p>
    <w:p w14:paraId="5859E956" w14:textId="77777777" w:rsidR="00032ABD" w:rsidRPr="002F13D8" w:rsidRDefault="00032ABD" w:rsidP="00032ABD">
      <w:pPr>
        <w:spacing w:before="240" w:after="12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PRINCIPAL AREAS OF PRACTICE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32ABD" w:rsidRPr="002F13D8" w14:paraId="0FF30957" w14:textId="77777777" w:rsidTr="002861D6">
        <w:tc>
          <w:tcPr>
            <w:tcW w:w="4503" w:type="dxa"/>
            <w:tcMar>
              <w:top w:w="11" w:type="dxa"/>
              <w:bottom w:w="11" w:type="dxa"/>
            </w:tcMar>
          </w:tcPr>
          <w:p w14:paraId="0C596F1F" w14:textId="77777777" w:rsidR="00032ABD" w:rsidRPr="002F13D8" w:rsidRDefault="00032ABD" w:rsidP="002861D6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rFonts w:ascii="Arial Narrow" w:hAnsi="Arial Narrow"/>
                <w:szCs w:val="24"/>
              </w:rPr>
            </w:pPr>
            <w:r w:rsidRPr="002F13D8">
              <w:rPr>
                <w:rFonts w:ascii="Arial Narrow" w:hAnsi="Arial Narrow" w:cs="Times New Roman"/>
                <w:szCs w:val="24"/>
              </w:rPr>
              <w:t>Employment</w:t>
            </w:r>
            <w:r w:rsidRPr="002F13D8">
              <w:rPr>
                <w:rFonts w:ascii="Arial Narrow" w:hAnsi="Arial Narrow"/>
                <w:szCs w:val="24"/>
              </w:rPr>
              <w:t xml:space="preserve"> and Industrial Law</w:t>
            </w:r>
            <w:r w:rsidRPr="002F13D8" w:rsidDel="005160BE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5244" w:type="dxa"/>
            <w:tcMar>
              <w:top w:w="11" w:type="dxa"/>
              <w:bottom w:w="11" w:type="dxa"/>
            </w:tcMar>
          </w:tcPr>
          <w:p w14:paraId="5E08BACC" w14:textId="77777777" w:rsidR="00032ABD" w:rsidRPr="002F13D8" w:rsidRDefault="00032ABD" w:rsidP="002861D6">
            <w:pPr>
              <w:pStyle w:val="ListParagraph"/>
              <w:tabs>
                <w:tab w:val="left" w:pos="350"/>
              </w:tabs>
              <w:spacing w:after="60"/>
              <w:ind w:left="360"/>
              <w:contextualSpacing w:val="0"/>
              <w:rPr>
                <w:rFonts w:ascii="Arial Narrow" w:hAnsi="Arial Narrow"/>
                <w:szCs w:val="24"/>
              </w:rPr>
            </w:pPr>
          </w:p>
        </w:tc>
      </w:tr>
      <w:tr w:rsidR="00032ABD" w:rsidRPr="002F13D8" w14:paraId="5945271E" w14:textId="77777777" w:rsidTr="002861D6">
        <w:tc>
          <w:tcPr>
            <w:tcW w:w="4503" w:type="dxa"/>
            <w:tcMar>
              <w:top w:w="11" w:type="dxa"/>
              <w:bottom w:w="11" w:type="dxa"/>
            </w:tcMar>
          </w:tcPr>
          <w:p w14:paraId="79BA114A" w14:textId="2AA36218" w:rsidR="00032ABD" w:rsidRPr="002F13D8" w:rsidRDefault="00834082" w:rsidP="00BD63EF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rFonts w:ascii="Arial Narrow" w:hAnsi="Arial Narrow"/>
                <w:szCs w:val="24"/>
              </w:rPr>
            </w:pPr>
            <w:r w:rsidRPr="002F13D8">
              <w:rPr>
                <w:rFonts w:ascii="Arial Narrow" w:hAnsi="Arial Narrow" w:cs="Times New Roman"/>
                <w:szCs w:val="24"/>
              </w:rPr>
              <w:t>Discrimination</w:t>
            </w:r>
          </w:p>
          <w:p w14:paraId="7236370B" w14:textId="77777777" w:rsidR="00032ABD" w:rsidRPr="002F13D8" w:rsidRDefault="00032ABD" w:rsidP="00BD63EF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rFonts w:ascii="Arial Narrow" w:hAnsi="Arial Narrow"/>
                <w:szCs w:val="24"/>
              </w:rPr>
            </w:pPr>
            <w:r w:rsidRPr="002F13D8">
              <w:rPr>
                <w:rFonts w:ascii="Arial Narrow" w:hAnsi="Arial Narrow" w:cs="Times New Roman"/>
                <w:szCs w:val="24"/>
              </w:rPr>
              <w:t>Administrative Law</w:t>
            </w:r>
          </w:p>
        </w:tc>
        <w:tc>
          <w:tcPr>
            <w:tcW w:w="5244" w:type="dxa"/>
            <w:tcMar>
              <w:top w:w="11" w:type="dxa"/>
              <w:bottom w:w="11" w:type="dxa"/>
            </w:tcMar>
          </w:tcPr>
          <w:p w14:paraId="24EAA83E" w14:textId="77777777" w:rsidR="00032ABD" w:rsidRPr="002F13D8" w:rsidRDefault="00032ABD" w:rsidP="002861D6">
            <w:pPr>
              <w:pStyle w:val="ListParagraph"/>
              <w:tabs>
                <w:tab w:val="left" w:pos="350"/>
              </w:tabs>
              <w:spacing w:after="60"/>
              <w:ind w:left="357"/>
              <w:contextualSpacing w:val="0"/>
              <w:rPr>
                <w:rFonts w:ascii="Arial Narrow" w:hAnsi="Arial Narrow"/>
                <w:szCs w:val="24"/>
              </w:rPr>
            </w:pPr>
          </w:p>
        </w:tc>
      </w:tr>
    </w:tbl>
    <w:p w14:paraId="4207168C" w14:textId="77777777" w:rsidR="00032ABD" w:rsidRPr="002F13D8" w:rsidRDefault="00032ABD" w:rsidP="00032ABD">
      <w:pPr>
        <w:spacing w:after="60" w:line="240" w:lineRule="auto"/>
        <w:rPr>
          <w:rFonts w:ascii="Arial Narrow" w:hAnsi="Arial Narrow" w:cs="Times New Roman"/>
          <w:szCs w:val="24"/>
        </w:rPr>
      </w:pPr>
    </w:p>
    <w:p w14:paraId="78CC0DCA" w14:textId="77777777" w:rsidR="000165BB" w:rsidRPr="002F13D8" w:rsidRDefault="000165BB" w:rsidP="000165BB">
      <w:pPr>
        <w:spacing w:before="120" w:after="120" w:line="240" w:lineRule="auto"/>
        <w:rPr>
          <w:rFonts w:ascii="Arial Narrow" w:hAnsi="Arial Narrow"/>
          <w:szCs w:val="24"/>
        </w:rPr>
        <w:sectPr w:rsidR="000165BB" w:rsidRPr="002F13D8" w:rsidSect="00497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851" w:footer="567" w:gutter="0"/>
          <w:cols w:space="708"/>
          <w:docGrid w:linePitch="360"/>
        </w:sectPr>
      </w:pPr>
    </w:p>
    <w:p w14:paraId="473A07A7" w14:textId="77777777" w:rsidR="000165BB" w:rsidRPr="002F13D8" w:rsidRDefault="000165BB" w:rsidP="000165BB">
      <w:pPr>
        <w:pBdr>
          <w:bottom w:val="single" w:sz="12" w:space="1" w:color="auto"/>
        </w:pBdr>
        <w:spacing w:after="240" w:line="240" w:lineRule="auto"/>
        <w:rPr>
          <w:rFonts w:ascii="Arial Narrow" w:hAnsi="Arial Narrow"/>
          <w:szCs w:val="24"/>
        </w:rPr>
      </w:pPr>
    </w:p>
    <w:p w14:paraId="18446285" w14:textId="77777777" w:rsidR="0029010E" w:rsidRPr="002F13D8" w:rsidRDefault="0029010E" w:rsidP="0029010E">
      <w:pPr>
        <w:spacing w:before="240" w:after="12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PROFESSIONAL EXPERIENCE</w:t>
      </w:r>
    </w:p>
    <w:p w14:paraId="12843B6C" w14:textId="77777777" w:rsidR="00BC04F8" w:rsidRPr="002F13D8" w:rsidRDefault="00342914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szCs w:val="24"/>
        </w:rPr>
        <w:t xml:space="preserve">2009 </w:t>
      </w:r>
      <w:r w:rsidR="003B1B7B" w:rsidRPr="002F13D8">
        <w:rPr>
          <w:rFonts w:ascii="Arial Narrow" w:hAnsi="Arial Narrow" w:cs="Times New Roman"/>
          <w:szCs w:val="24"/>
        </w:rPr>
        <w:t xml:space="preserve">– present </w:t>
      </w:r>
      <w:r w:rsidR="003B1B7B" w:rsidRPr="002F13D8">
        <w:rPr>
          <w:rFonts w:ascii="Arial Narrow" w:hAnsi="Arial Narrow" w:cs="Times New Roman"/>
          <w:szCs w:val="24"/>
        </w:rPr>
        <w:tab/>
      </w:r>
      <w:r w:rsidR="00BC04F8" w:rsidRPr="002F13D8">
        <w:rPr>
          <w:rFonts w:ascii="Arial Narrow" w:hAnsi="Arial Narrow" w:cs="Times New Roman"/>
          <w:szCs w:val="24"/>
        </w:rPr>
        <w:t>Barrister, Frederick Jordan Chambers</w:t>
      </w:r>
    </w:p>
    <w:p w14:paraId="75E84D10" w14:textId="77777777" w:rsidR="00BC04F8" w:rsidRPr="002F13D8" w:rsidRDefault="0015373D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szCs w:val="24"/>
        </w:rPr>
        <w:t xml:space="preserve">1998 – 2009 </w:t>
      </w:r>
      <w:r w:rsidRPr="002F13D8">
        <w:rPr>
          <w:rFonts w:ascii="Arial Narrow" w:hAnsi="Arial Narrow" w:cs="Times New Roman"/>
          <w:szCs w:val="24"/>
        </w:rPr>
        <w:tab/>
      </w:r>
      <w:r w:rsidR="0031449F" w:rsidRPr="002F13D8">
        <w:rPr>
          <w:rFonts w:ascii="Arial Narrow" w:hAnsi="Arial Narrow" w:cs="Times New Roman"/>
          <w:szCs w:val="24"/>
        </w:rPr>
        <w:t>Employee Relations Manager NSW/ACT, Australia Post</w:t>
      </w:r>
    </w:p>
    <w:p w14:paraId="6BE14CCE" w14:textId="77777777" w:rsidR="0029010E" w:rsidRPr="002F13D8" w:rsidRDefault="0031449F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 xml:space="preserve">1995 – 1998 </w:t>
      </w:r>
      <w:r w:rsidRPr="002F13D8">
        <w:rPr>
          <w:rFonts w:ascii="Arial Narrow" w:hAnsi="Arial Narrow"/>
          <w:szCs w:val="24"/>
        </w:rPr>
        <w:tab/>
        <w:t>Senior Human Resources Consultant</w:t>
      </w:r>
      <w:r w:rsidR="00652242" w:rsidRPr="002F13D8">
        <w:rPr>
          <w:rFonts w:ascii="Arial Narrow" w:hAnsi="Arial Narrow"/>
          <w:szCs w:val="24"/>
        </w:rPr>
        <w:t>, Ansett Australia (NSW)</w:t>
      </w:r>
    </w:p>
    <w:p w14:paraId="3D4C6D8D" w14:textId="77777777" w:rsidR="00652242" w:rsidRPr="002F13D8" w:rsidRDefault="00342914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>Pre 1995</w:t>
      </w:r>
      <w:r w:rsidRPr="002F13D8">
        <w:rPr>
          <w:rFonts w:ascii="Arial Narrow" w:hAnsi="Arial Narrow"/>
          <w:szCs w:val="24"/>
        </w:rPr>
        <w:tab/>
      </w:r>
      <w:r w:rsidR="00652242" w:rsidRPr="002F13D8">
        <w:rPr>
          <w:rFonts w:ascii="Arial Narrow" w:hAnsi="Arial Narrow"/>
          <w:szCs w:val="24"/>
        </w:rPr>
        <w:tab/>
        <w:t xml:space="preserve">Industrial Advocate, Chamber of Manufactures and Industrial Officer, Motor </w:t>
      </w:r>
      <w:r w:rsidR="00025343" w:rsidRPr="002F13D8">
        <w:rPr>
          <w:rFonts w:ascii="Arial Narrow" w:hAnsi="Arial Narrow"/>
          <w:szCs w:val="24"/>
        </w:rPr>
        <w:tab/>
      </w:r>
      <w:r w:rsidR="003B1B7B" w:rsidRPr="002F13D8">
        <w:rPr>
          <w:rFonts w:ascii="Arial Narrow" w:hAnsi="Arial Narrow"/>
          <w:szCs w:val="24"/>
        </w:rPr>
        <w:tab/>
      </w:r>
      <w:r w:rsidR="003B1B7B" w:rsidRPr="002F13D8">
        <w:rPr>
          <w:rFonts w:ascii="Arial Narrow" w:hAnsi="Arial Narrow"/>
          <w:szCs w:val="24"/>
        </w:rPr>
        <w:tab/>
      </w:r>
      <w:r w:rsidR="000165BB" w:rsidRPr="002F13D8">
        <w:rPr>
          <w:rFonts w:ascii="Arial Narrow" w:hAnsi="Arial Narrow"/>
          <w:szCs w:val="24"/>
        </w:rPr>
        <w:t xml:space="preserve">Traders </w:t>
      </w:r>
      <w:r w:rsidR="00652242" w:rsidRPr="002F13D8">
        <w:rPr>
          <w:rFonts w:ascii="Arial Narrow" w:hAnsi="Arial Narrow"/>
          <w:szCs w:val="24"/>
        </w:rPr>
        <w:t>Ass</w:t>
      </w:r>
      <w:r w:rsidRPr="002F13D8">
        <w:rPr>
          <w:rFonts w:ascii="Arial Narrow" w:hAnsi="Arial Narrow"/>
          <w:szCs w:val="24"/>
        </w:rPr>
        <w:t>ociation</w:t>
      </w:r>
    </w:p>
    <w:p w14:paraId="381397A9" w14:textId="752BF718" w:rsidR="0029010E" w:rsidRPr="002F13D8" w:rsidRDefault="00A737DC" w:rsidP="0029010E">
      <w:pPr>
        <w:spacing w:before="240" w:after="12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PROFESSIONAL MEMBERSHIPS</w:t>
      </w:r>
      <w:r w:rsidR="00317790" w:rsidRPr="002F13D8">
        <w:rPr>
          <w:rFonts w:ascii="Arial Narrow" w:hAnsi="Arial Narrow"/>
          <w:b/>
          <w:bCs/>
          <w:szCs w:val="24"/>
        </w:rPr>
        <w:t xml:space="preserve"> AND OTHER</w:t>
      </w:r>
    </w:p>
    <w:p w14:paraId="62ADF546" w14:textId="77777777" w:rsidR="00BC04F8" w:rsidRPr="002F13D8" w:rsidRDefault="00BC04F8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szCs w:val="24"/>
        </w:rPr>
        <w:t>Member, N</w:t>
      </w:r>
      <w:r w:rsidR="00AE276C" w:rsidRPr="002F13D8">
        <w:rPr>
          <w:rFonts w:ascii="Arial Narrow" w:hAnsi="Arial Narrow" w:cs="Times New Roman"/>
          <w:szCs w:val="24"/>
        </w:rPr>
        <w:t>ew South Wales Bar Association</w:t>
      </w:r>
    </w:p>
    <w:p w14:paraId="46A77830" w14:textId="77777777" w:rsidR="0029010E" w:rsidRPr="002F13D8" w:rsidRDefault="00BC04F8" w:rsidP="003B1B7B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>Member, Industrial Relations Society of NSW</w:t>
      </w:r>
    </w:p>
    <w:p w14:paraId="21BAA9A6" w14:textId="32B34B28" w:rsidR="00AE276C" w:rsidRPr="002F13D8" w:rsidRDefault="00B97339" w:rsidP="00BC04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60" w:line="240" w:lineRule="auto"/>
        <w:ind w:left="1440" w:hanging="1440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 xml:space="preserve">Member, </w:t>
      </w:r>
      <w:r w:rsidR="00AE276C" w:rsidRPr="002F13D8">
        <w:rPr>
          <w:rFonts w:ascii="Arial Narrow" w:hAnsi="Arial Narrow"/>
          <w:szCs w:val="24"/>
        </w:rPr>
        <w:t>Women Lawyers Association</w:t>
      </w:r>
      <w:r w:rsidRPr="002F13D8">
        <w:rPr>
          <w:rFonts w:ascii="Arial Narrow" w:hAnsi="Arial Narrow"/>
          <w:szCs w:val="24"/>
        </w:rPr>
        <w:t xml:space="preserve"> of NSW</w:t>
      </w:r>
    </w:p>
    <w:p w14:paraId="235705B0" w14:textId="196D8DA2" w:rsidR="00317790" w:rsidRPr="002F13D8" w:rsidRDefault="00317790" w:rsidP="00BC04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60" w:line="240" w:lineRule="auto"/>
        <w:ind w:left="1440" w:hanging="1440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szCs w:val="24"/>
        </w:rPr>
        <w:t xml:space="preserve">2020 – Member, Bar Association Industrial, Employment, </w:t>
      </w:r>
      <w:r w:rsidR="004470A0" w:rsidRPr="002F13D8">
        <w:rPr>
          <w:rFonts w:ascii="Arial Narrow" w:hAnsi="Arial Narrow"/>
          <w:szCs w:val="24"/>
        </w:rPr>
        <w:t>Health,</w:t>
      </w:r>
      <w:r w:rsidRPr="002F13D8">
        <w:rPr>
          <w:rFonts w:ascii="Arial Narrow" w:hAnsi="Arial Narrow"/>
          <w:szCs w:val="24"/>
        </w:rPr>
        <w:t xml:space="preserve"> and Safety Committee</w:t>
      </w:r>
    </w:p>
    <w:p w14:paraId="645F75EF" w14:textId="763051FE" w:rsidR="00317790" w:rsidRPr="0002196A" w:rsidRDefault="00317790" w:rsidP="0002196A">
      <w:pPr>
        <w:pStyle w:val="ListParagraph"/>
        <w:numPr>
          <w:ilvl w:val="0"/>
          <w:numId w:val="1"/>
        </w:numPr>
        <w:spacing w:after="60" w:line="240" w:lineRule="auto"/>
        <w:rPr>
          <w:rFonts w:ascii="Arial Narrow" w:hAnsi="Arial Narrow"/>
          <w:szCs w:val="24"/>
        </w:rPr>
      </w:pPr>
      <w:r w:rsidRPr="0002196A">
        <w:rPr>
          <w:rFonts w:ascii="Arial Narrow" w:hAnsi="Arial Narrow"/>
          <w:szCs w:val="24"/>
        </w:rPr>
        <w:t xml:space="preserve">December 2020 </w:t>
      </w:r>
      <w:r w:rsidR="0002196A" w:rsidRPr="0002196A">
        <w:rPr>
          <w:rFonts w:ascii="Arial Narrow" w:hAnsi="Arial Narrow"/>
          <w:szCs w:val="24"/>
        </w:rPr>
        <w:t xml:space="preserve">– December 2022 </w:t>
      </w:r>
      <w:r w:rsidRPr="0002196A">
        <w:rPr>
          <w:rFonts w:ascii="Arial Narrow" w:hAnsi="Arial Narrow"/>
          <w:szCs w:val="24"/>
        </w:rPr>
        <w:t>– Director, Barrister Services Co-operative for Frederick Jordan</w:t>
      </w:r>
      <w:r w:rsidR="0002196A" w:rsidRPr="0002196A">
        <w:rPr>
          <w:rFonts w:ascii="Arial Narrow" w:hAnsi="Arial Narrow"/>
          <w:szCs w:val="24"/>
        </w:rPr>
        <w:t xml:space="preserve"> </w:t>
      </w:r>
      <w:r w:rsidRPr="0002196A">
        <w:rPr>
          <w:rFonts w:ascii="Arial Narrow" w:hAnsi="Arial Narrow"/>
          <w:szCs w:val="24"/>
        </w:rPr>
        <w:t>Chambers</w:t>
      </w:r>
    </w:p>
    <w:p w14:paraId="110B017A" w14:textId="77777777" w:rsidR="00AC3255" w:rsidRPr="002F13D8" w:rsidRDefault="00AC3255" w:rsidP="00AC3255">
      <w:pPr>
        <w:spacing w:before="240" w:after="12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SELECT CASES</w:t>
      </w:r>
    </w:p>
    <w:p w14:paraId="64DC2DA7" w14:textId="08314485" w:rsidR="00B055AF" w:rsidRPr="002F13D8" w:rsidRDefault="00B055AF" w:rsidP="00B055AF">
      <w:pPr>
        <w:tabs>
          <w:tab w:val="left" w:pos="360"/>
          <w:tab w:val="left" w:pos="1440"/>
        </w:tabs>
        <w:spacing w:after="60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High Court of Australia</w:t>
      </w:r>
    </w:p>
    <w:p w14:paraId="6DD051DB" w14:textId="0BD14BB0" w:rsidR="00B055AF" w:rsidRDefault="00B055AF" w:rsidP="00B055AF">
      <w:pPr>
        <w:pStyle w:val="ListParagraph"/>
        <w:numPr>
          <w:ilvl w:val="0"/>
          <w:numId w:val="4"/>
        </w:numPr>
        <w:tabs>
          <w:tab w:val="left" w:pos="426"/>
          <w:tab w:val="left" w:pos="1440"/>
        </w:tabs>
        <w:spacing w:after="60"/>
        <w:ind w:left="426" w:hanging="426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ALDI Foods Pty Ltd v Shop, Distributive &amp; Allied Employees Association</w:t>
      </w:r>
      <w:r w:rsidRPr="002F13D8">
        <w:rPr>
          <w:rFonts w:ascii="Arial Narrow" w:hAnsi="Arial Narrow"/>
          <w:szCs w:val="24"/>
        </w:rPr>
        <w:t xml:space="preserve"> </w:t>
      </w:r>
      <w:r w:rsidR="002D363D" w:rsidRPr="002F13D8">
        <w:rPr>
          <w:rFonts w:ascii="Arial Narrow" w:hAnsi="Arial Narrow"/>
          <w:szCs w:val="24"/>
        </w:rPr>
        <w:t xml:space="preserve">(2017) </w:t>
      </w:r>
      <w:r w:rsidR="00453FB7" w:rsidRPr="002F13D8">
        <w:rPr>
          <w:rFonts w:ascii="Arial Narrow" w:hAnsi="Arial Narrow"/>
          <w:szCs w:val="24"/>
        </w:rPr>
        <w:t>262 CLR 593</w:t>
      </w:r>
      <w:r w:rsidRPr="002F13D8">
        <w:rPr>
          <w:rFonts w:ascii="Arial Narrow" w:hAnsi="Arial Narrow"/>
          <w:szCs w:val="24"/>
        </w:rPr>
        <w:t xml:space="preserve"> (led by Mr Hatcher SC)</w:t>
      </w:r>
      <w:r w:rsidR="00A84467">
        <w:rPr>
          <w:rFonts w:ascii="Arial Narrow" w:hAnsi="Arial Narrow"/>
          <w:szCs w:val="24"/>
        </w:rPr>
        <w:t xml:space="preserve"> – appeared for the Appellant; approval of an enterprise agreement.</w:t>
      </w:r>
    </w:p>
    <w:p w14:paraId="3378206F" w14:textId="77777777" w:rsidR="002F13D8" w:rsidRPr="002F13D8" w:rsidRDefault="002F13D8" w:rsidP="002F13D8">
      <w:pPr>
        <w:pStyle w:val="ListParagraph"/>
        <w:tabs>
          <w:tab w:val="left" w:pos="426"/>
          <w:tab w:val="left" w:pos="1440"/>
        </w:tabs>
        <w:spacing w:after="60"/>
        <w:ind w:left="426"/>
        <w:rPr>
          <w:rFonts w:ascii="Arial Narrow" w:hAnsi="Arial Narrow"/>
          <w:szCs w:val="24"/>
        </w:rPr>
      </w:pPr>
    </w:p>
    <w:p w14:paraId="6E445353" w14:textId="77777777" w:rsidR="00AC3255" w:rsidRPr="002F13D8" w:rsidRDefault="00AC3255" w:rsidP="00AC3255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Federal Court of Australia</w:t>
      </w:r>
    </w:p>
    <w:p w14:paraId="6F675F09" w14:textId="56C9E70B" w:rsidR="002F13D8" w:rsidRDefault="002F13D8" w:rsidP="00B055AF">
      <w:pPr>
        <w:pStyle w:val="ListParagraph"/>
        <w:numPr>
          <w:ilvl w:val="0"/>
          <w:numId w:val="1"/>
        </w:numPr>
        <w:spacing w:after="60"/>
        <w:ind w:left="357" w:hanging="357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i/>
          <w:iCs/>
          <w:szCs w:val="24"/>
        </w:rPr>
        <w:t xml:space="preserve">Campbell v Northern Territory of Australia (No 3) </w:t>
      </w:r>
      <w:r>
        <w:rPr>
          <w:rFonts w:ascii="Arial Narrow" w:hAnsi="Arial Narrow" w:cs="Times New Roman"/>
          <w:szCs w:val="24"/>
        </w:rPr>
        <w:t>[2021] FCA 1089 (with Mr Tierney)</w:t>
      </w:r>
      <w:r w:rsidR="00A84467">
        <w:rPr>
          <w:rFonts w:ascii="Arial Narrow" w:hAnsi="Arial Narrow" w:cs="Times New Roman"/>
          <w:szCs w:val="24"/>
        </w:rPr>
        <w:t xml:space="preserve"> – appeared for the Applicant; claim of race discrimination.</w:t>
      </w:r>
    </w:p>
    <w:p w14:paraId="0356CC23" w14:textId="79BB0CA5" w:rsidR="006E6009" w:rsidRPr="002F13D8" w:rsidRDefault="006E6009" w:rsidP="00B055AF">
      <w:pPr>
        <w:pStyle w:val="ListParagraph"/>
        <w:numPr>
          <w:ilvl w:val="0"/>
          <w:numId w:val="1"/>
        </w:numPr>
        <w:spacing w:after="60"/>
        <w:ind w:left="357" w:hanging="357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ALDI Foods Pty Ltd v Transport Workers Union of Australia</w:t>
      </w:r>
      <w:r w:rsidRPr="002F13D8">
        <w:rPr>
          <w:rFonts w:ascii="Arial Narrow" w:hAnsi="Arial Narrow" w:cs="Times New Roman"/>
          <w:szCs w:val="24"/>
        </w:rPr>
        <w:t xml:space="preserve"> </w:t>
      </w:r>
      <w:r w:rsidR="007F741E" w:rsidRPr="002F13D8">
        <w:rPr>
          <w:rFonts w:ascii="Arial Narrow" w:hAnsi="Arial Narrow" w:cs="Times New Roman"/>
          <w:szCs w:val="24"/>
        </w:rPr>
        <w:t>(</w:t>
      </w:r>
      <w:r w:rsidRPr="002F13D8">
        <w:rPr>
          <w:rFonts w:ascii="Arial Narrow" w:hAnsi="Arial Narrow" w:cs="Times New Roman"/>
          <w:szCs w:val="24"/>
        </w:rPr>
        <w:t>2020</w:t>
      </w:r>
      <w:r w:rsidR="007F741E" w:rsidRPr="002F13D8">
        <w:rPr>
          <w:rFonts w:ascii="Arial Narrow" w:hAnsi="Arial Narrow" w:cs="Times New Roman"/>
          <w:szCs w:val="24"/>
        </w:rPr>
        <w:t>)</w:t>
      </w:r>
      <w:r w:rsidRPr="002F13D8">
        <w:rPr>
          <w:rFonts w:ascii="Arial Narrow" w:hAnsi="Arial Narrow" w:cs="Times New Roman"/>
          <w:szCs w:val="24"/>
        </w:rPr>
        <w:t xml:space="preserve"> </w:t>
      </w:r>
      <w:r w:rsidR="007F741E" w:rsidRPr="002F13D8">
        <w:rPr>
          <w:rFonts w:ascii="Arial Narrow" w:hAnsi="Arial Narrow" w:cs="Times New Roman"/>
          <w:szCs w:val="24"/>
        </w:rPr>
        <w:t xml:space="preserve">282 FCR 174 </w:t>
      </w:r>
      <w:r w:rsidRPr="002F13D8">
        <w:rPr>
          <w:rFonts w:ascii="Arial Narrow" w:hAnsi="Arial Narrow"/>
          <w:szCs w:val="24"/>
        </w:rPr>
        <w:t>(led by Mr Hatcher SC and Ms Painter SC)</w:t>
      </w:r>
      <w:r w:rsidR="00A84467">
        <w:rPr>
          <w:rFonts w:ascii="Arial Narrow" w:hAnsi="Arial Narrow"/>
          <w:szCs w:val="24"/>
        </w:rPr>
        <w:t xml:space="preserve"> – appeared for the Appellant: claim of misleading and deceptive conduct.</w:t>
      </w:r>
    </w:p>
    <w:p w14:paraId="4CCA3E6C" w14:textId="3933F725" w:rsidR="00453FB7" w:rsidRPr="002F13D8" w:rsidRDefault="00453FB7" w:rsidP="00B055AF">
      <w:pPr>
        <w:pStyle w:val="ListParagraph"/>
        <w:numPr>
          <w:ilvl w:val="0"/>
          <w:numId w:val="1"/>
        </w:numPr>
        <w:spacing w:after="60"/>
        <w:ind w:left="357" w:hanging="357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ALDI Foods Pty Ltd v Transport Workers Union of Australia</w:t>
      </w:r>
      <w:r w:rsidRPr="002F13D8">
        <w:rPr>
          <w:rFonts w:ascii="Arial Narrow" w:hAnsi="Arial Narrow" w:cs="Times New Roman"/>
          <w:szCs w:val="24"/>
        </w:rPr>
        <w:t xml:space="preserve"> </w:t>
      </w:r>
      <w:r w:rsidR="006806A6" w:rsidRPr="002F13D8">
        <w:rPr>
          <w:rFonts w:ascii="Arial Narrow" w:hAnsi="Arial Narrow" w:cs="Times New Roman"/>
          <w:szCs w:val="24"/>
        </w:rPr>
        <w:t>(2020) 294 IR 407</w:t>
      </w:r>
      <w:r w:rsidRPr="002F13D8">
        <w:rPr>
          <w:rFonts w:ascii="Arial Narrow" w:hAnsi="Arial Narrow" w:cs="Times New Roman"/>
          <w:szCs w:val="24"/>
        </w:rPr>
        <w:t xml:space="preserve"> </w:t>
      </w:r>
      <w:r w:rsidRPr="002F13D8">
        <w:rPr>
          <w:rFonts w:ascii="Arial Narrow" w:hAnsi="Arial Narrow"/>
          <w:szCs w:val="24"/>
        </w:rPr>
        <w:t>(led by Mr Hatcher SC)</w:t>
      </w:r>
      <w:r w:rsidR="00A84467">
        <w:rPr>
          <w:rFonts w:ascii="Arial Narrow" w:hAnsi="Arial Narrow"/>
          <w:szCs w:val="24"/>
        </w:rPr>
        <w:t xml:space="preserve"> – appeared for the Applicant: claim of misleading and deceptive conduct.</w:t>
      </w:r>
    </w:p>
    <w:p w14:paraId="6609698E" w14:textId="465BAE0B" w:rsidR="00453FB7" w:rsidRPr="002F13D8" w:rsidRDefault="00453FB7" w:rsidP="00B055AF">
      <w:pPr>
        <w:pStyle w:val="ListParagraph"/>
        <w:numPr>
          <w:ilvl w:val="0"/>
          <w:numId w:val="1"/>
        </w:numPr>
        <w:spacing w:after="60"/>
        <w:ind w:left="357" w:hanging="357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ALDI Foods Pty Ltd v Shop, Distributive and Allied Employees Association</w:t>
      </w:r>
      <w:r w:rsidRPr="002F13D8">
        <w:rPr>
          <w:rFonts w:ascii="Arial Narrow" w:hAnsi="Arial Narrow" w:cs="Times New Roman"/>
          <w:szCs w:val="24"/>
        </w:rPr>
        <w:t xml:space="preserve"> (2019) 269 FCR 112 </w:t>
      </w:r>
      <w:r w:rsidRPr="002F13D8">
        <w:rPr>
          <w:rFonts w:ascii="Arial Narrow" w:hAnsi="Arial Narrow"/>
          <w:szCs w:val="24"/>
        </w:rPr>
        <w:t>(led by Mr Hatcher SC)</w:t>
      </w:r>
      <w:r w:rsidR="00A84467">
        <w:rPr>
          <w:rFonts w:ascii="Arial Narrow" w:hAnsi="Arial Narrow"/>
          <w:szCs w:val="24"/>
        </w:rPr>
        <w:t xml:space="preserve"> – appeared for the Applicant; approval of an enterprise agreement.</w:t>
      </w:r>
    </w:p>
    <w:p w14:paraId="6374F2C0" w14:textId="79A24790" w:rsidR="00B055AF" w:rsidRPr="002F13D8" w:rsidRDefault="00B055AF" w:rsidP="00B055AF">
      <w:pPr>
        <w:pStyle w:val="ListParagraph"/>
        <w:numPr>
          <w:ilvl w:val="0"/>
          <w:numId w:val="1"/>
        </w:numPr>
        <w:spacing w:after="60"/>
        <w:ind w:left="357" w:hanging="357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ALDI Foods Pty Ltd v Transport Workers Union of Australia</w:t>
      </w:r>
      <w:r w:rsidRPr="002F13D8">
        <w:rPr>
          <w:rFonts w:ascii="Arial Narrow" w:hAnsi="Arial Narrow" w:cs="Times New Roman"/>
          <w:szCs w:val="24"/>
        </w:rPr>
        <w:t xml:space="preserve"> [2017] FCA 1004 (led by Mr Cross)</w:t>
      </w:r>
      <w:r w:rsidR="00A84467">
        <w:rPr>
          <w:rFonts w:ascii="Arial Narrow" w:hAnsi="Arial Narrow" w:cs="Times New Roman"/>
          <w:szCs w:val="24"/>
        </w:rPr>
        <w:t xml:space="preserve"> – appeared for the Applicant; application for interlocutory injunction.</w:t>
      </w:r>
    </w:p>
    <w:p w14:paraId="4E3D8539" w14:textId="64C1E48B" w:rsidR="005160BE" w:rsidRPr="002F13D8" w:rsidRDefault="005160BE" w:rsidP="00B055AF">
      <w:pPr>
        <w:pStyle w:val="ListParagraph"/>
        <w:numPr>
          <w:ilvl w:val="0"/>
          <w:numId w:val="1"/>
        </w:numPr>
        <w:spacing w:after="60"/>
        <w:ind w:left="357" w:hanging="357"/>
        <w:rPr>
          <w:rFonts w:ascii="Arial Narrow" w:hAnsi="Arial Narrow" w:cs="Times New Roman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State of New South Wales (Department of Justice – Corrective Services) v Huntley</w:t>
      </w:r>
      <w:r w:rsidRPr="002F13D8">
        <w:rPr>
          <w:rFonts w:ascii="Arial Narrow" w:hAnsi="Arial Narrow" w:cs="Times New Roman"/>
          <w:szCs w:val="24"/>
        </w:rPr>
        <w:t xml:space="preserve"> [2017] FCA 581 (led by Ms Ronalds SC)</w:t>
      </w:r>
      <w:r w:rsidR="00A84467">
        <w:rPr>
          <w:rFonts w:ascii="Arial Narrow" w:hAnsi="Arial Narrow" w:cs="Times New Roman"/>
          <w:szCs w:val="24"/>
        </w:rPr>
        <w:t xml:space="preserve"> – appeared for the Respondent, appeal re disability discrimination claim in employment.</w:t>
      </w:r>
    </w:p>
    <w:p w14:paraId="292CAF1B" w14:textId="7DD0BEF2" w:rsidR="00AC3255" w:rsidRPr="002F13D8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Shop</w:t>
      </w:r>
      <w:r w:rsidRPr="002F13D8">
        <w:rPr>
          <w:rFonts w:ascii="Arial Narrow" w:hAnsi="Arial Narrow"/>
          <w:i/>
          <w:iCs/>
          <w:szCs w:val="24"/>
        </w:rPr>
        <w:t>, Distributive &amp; Allied Employees Association v ALDI Foods</w:t>
      </w:r>
      <w:r w:rsidRPr="002F13D8">
        <w:rPr>
          <w:rFonts w:ascii="Arial Narrow" w:hAnsi="Arial Narrow"/>
          <w:szCs w:val="24"/>
        </w:rPr>
        <w:t xml:space="preserve"> (2016) 245 FCR 155 (led by Mr Hatcher SC) </w:t>
      </w:r>
      <w:r w:rsidR="00A84467">
        <w:rPr>
          <w:rFonts w:ascii="Arial Narrow" w:hAnsi="Arial Narrow"/>
          <w:szCs w:val="24"/>
        </w:rPr>
        <w:t>– appeared for the Respondent; approval of an enterprise agreement.</w:t>
      </w:r>
    </w:p>
    <w:p w14:paraId="324658A8" w14:textId="0E668C88" w:rsidR="00AC3255" w:rsidRPr="002F13D8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Koutalis</w:t>
      </w:r>
      <w:r w:rsidRPr="002F13D8">
        <w:rPr>
          <w:rFonts w:ascii="Arial Narrow" w:hAnsi="Arial Narrow"/>
          <w:i/>
          <w:iCs/>
          <w:szCs w:val="24"/>
        </w:rPr>
        <w:t xml:space="preserve"> v Pollett</w:t>
      </w:r>
      <w:r w:rsidRPr="002F13D8">
        <w:rPr>
          <w:rFonts w:ascii="Arial Narrow" w:hAnsi="Arial Narrow"/>
          <w:szCs w:val="24"/>
        </w:rPr>
        <w:t xml:space="preserve"> (2015) 235 FCR </w:t>
      </w:r>
      <w:r w:rsidR="00477F1E" w:rsidRPr="002F13D8">
        <w:rPr>
          <w:rFonts w:ascii="Arial Narrow" w:hAnsi="Arial Narrow"/>
          <w:szCs w:val="24"/>
        </w:rPr>
        <w:t xml:space="preserve">370 </w:t>
      </w:r>
      <w:r w:rsidR="00477F1E">
        <w:rPr>
          <w:rFonts w:ascii="Arial Narrow" w:hAnsi="Arial Narrow"/>
          <w:szCs w:val="24"/>
        </w:rPr>
        <w:t xml:space="preserve">- </w:t>
      </w:r>
      <w:r w:rsidR="00A84467">
        <w:rPr>
          <w:rFonts w:ascii="Arial Narrow" w:hAnsi="Arial Narrow"/>
          <w:szCs w:val="24"/>
        </w:rPr>
        <w:t>appeared for the Respondent; appeal from decision of Local Court regarding long service leave entitlements.</w:t>
      </w:r>
    </w:p>
    <w:p w14:paraId="4FC3E133" w14:textId="01EDD2CF" w:rsidR="00AC3255" w:rsidRPr="002F13D8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Haraksin v Murrays Australia Ltd No 2</w:t>
      </w:r>
      <w:r w:rsidRPr="002F13D8">
        <w:rPr>
          <w:rFonts w:ascii="Arial Narrow" w:hAnsi="Arial Narrow"/>
          <w:szCs w:val="24"/>
        </w:rPr>
        <w:t xml:space="preserve"> (2013) 211 FCR 1 (led by Ms Ronalds SC) </w:t>
      </w:r>
      <w:r w:rsidR="00A84467">
        <w:rPr>
          <w:rFonts w:ascii="Arial Narrow" w:hAnsi="Arial Narrow"/>
          <w:szCs w:val="24"/>
        </w:rPr>
        <w:t>– appeared for the Applicant; claim of disability discrimination in relation to the provision of services.</w:t>
      </w:r>
    </w:p>
    <w:p w14:paraId="28A335E6" w14:textId="723D6A0F" w:rsidR="00AC3255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lastRenderedPageBreak/>
        <w:t>Richardson v Oracle Corporation Australia Pty Ltd and Randol Tucker</w:t>
      </w:r>
      <w:r w:rsidRPr="002F13D8">
        <w:rPr>
          <w:rFonts w:ascii="Arial Narrow" w:hAnsi="Arial Narrow"/>
          <w:szCs w:val="24"/>
        </w:rPr>
        <w:t xml:space="preserve"> (2013) 232 IR 31 </w:t>
      </w:r>
      <w:r w:rsidR="00A84467">
        <w:rPr>
          <w:rFonts w:ascii="Arial Narrow" w:hAnsi="Arial Narrow"/>
          <w:szCs w:val="24"/>
        </w:rPr>
        <w:t xml:space="preserve">– appeared for </w:t>
      </w:r>
      <w:r w:rsidRPr="002F13D8">
        <w:rPr>
          <w:rFonts w:ascii="Arial Narrow" w:hAnsi="Arial Narrow"/>
          <w:szCs w:val="24"/>
        </w:rPr>
        <w:t>first 7 days of hearing for the Second Respondent</w:t>
      </w:r>
      <w:r w:rsidR="00A84467">
        <w:rPr>
          <w:rFonts w:ascii="Arial Narrow" w:hAnsi="Arial Narrow"/>
          <w:szCs w:val="24"/>
        </w:rPr>
        <w:t xml:space="preserve">; claim of sexual harassment </w:t>
      </w:r>
    </w:p>
    <w:p w14:paraId="4BC983F5" w14:textId="77777777" w:rsidR="002F13D8" w:rsidRPr="002F13D8" w:rsidRDefault="002F13D8" w:rsidP="002F13D8">
      <w:pPr>
        <w:pStyle w:val="ListParagraph"/>
        <w:spacing w:after="60" w:line="240" w:lineRule="auto"/>
        <w:ind w:left="357"/>
        <w:contextualSpacing w:val="0"/>
        <w:rPr>
          <w:rFonts w:ascii="Arial Narrow" w:hAnsi="Arial Narrow"/>
          <w:szCs w:val="24"/>
        </w:rPr>
      </w:pPr>
    </w:p>
    <w:p w14:paraId="18578044" w14:textId="10706494" w:rsidR="00AC3255" w:rsidRPr="002F13D8" w:rsidRDefault="00AC3255" w:rsidP="00AC3255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 xml:space="preserve">Federal Circuit </w:t>
      </w:r>
      <w:r w:rsidR="007F741E" w:rsidRPr="002F13D8">
        <w:rPr>
          <w:rFonts w:ascii="Arial Narrow" w:hAnsi="Arial Narrow"/>
          <w:b/>
          <w:bCs/>
          <w:szCs w:val="24"/>
        </w:rPr>
        <w:t xml:space="preserve">and Family </w:t>
      </w:r>
      <w:r w:rsidRPr="002F13D8">
        <w:rPr>
          <w:rFonts w:ascii="Arial Narrow" w:hAnsi="Arial Narrow"/>
          <w:b/>
          <w:bCs/>
          <w:szCs w:val="24"/>
        </w:rPr>
        <w:t>Court of Australia</w:t>
      </w:r>
      <w:r w:rsidR="007F741E" w:rsidRPr="002F13D8">
        <w:rPr>
          <w:rFonts w:ascii="Arial Narrow" w:hAnsi="Arial Narrow"/>
          <w:b/>
          <w:bCs/>
          <w:szCs w:val="24"/>
        </w:rPr>
        <w:t xml:space="preserve"> (previously Federal Circuit Court)</w:t>
      </w:r>
    </w:p>
    <w:p w14:paraId="6736C4EC" w14:textId="73FCEF50" w:rsidR="00A7644F" w:rsidRPr="002F13D8" w:rsidRDefault="00A84467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>
        <w:rPr>
          <w:rFonts w:ascii="Arial Narrow" w:hAnsi="Arial Narrow"/>
          <w:i/>
          <w:iCs/>
          <w:szCs w:val="24"/>
        </w:rPr>
        <w:t xml:space="preserve">Shop, Distributive and Allied Employees’ Association v ALDI Foods Pty Ltd </w:t>
      </w:r>
      <w:r>
        <w:rPr>
          <w:rFonts w:ascii="Arial Narrow" w:hAnsi="Arial Narrow"/>
          <w:szCs w:val="24"/>
        </w:rPr>
        <w:t xml:space="preserve">(2022) 318 IR </w:t>
      </w:r>
      <w:r w:rsidR="00430067">
        <w:rPr>
          <w:rFonts w:ascii="Arial Narrow" w:hAnsi="Arial Narrow"/>
          <w:szCs w:val="24"/>
        </w:rPr>
        <w:t>206 – appeared for the Respondent: interpretation of an enterprise agreement.</w:t>
      </w:r>
    </w:p>
    <w:p w14:paraId="07B4875A" w14:textId="7540579F" w:rsidR="00995ACC" w:rsidRPr="00A84467" w:rsidRDefault="007F741E" w:rsidP="00A84467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Wood v Sematic Software Asia Pacific Pty Ltd</w:t>
      </w:r>
      <w:r w:rsidRPr="002F13D8">
        <w:rPr>
          <w:rFonts w:ascii="Arial Narrow" w:hAnsi="Arial Narrow"/>
          <w:szCs w:val="24"/>
        </w:rPr>
        <w:t xml:space="preserve"> [2021] FCCA 1006</w:t>
      </w:r>
      <w:r w:rsidR="00430067">
        <w:rPr>
          <w:rFonts w:ascii="Arial Narrow" w:hAnsi="Arial Narrow"/>
          <w:szCs w:val="24"/>
        </w:rPr>
        <w:t xml:space="preserve"> – appeared for the Applicant; general protections claim.</w:t>
      </w:r>
    </w:p>
    <w:p w14:paraId="22AE9C25" w14:textId="0C1207EA" w:rsidR="00453FB7" w:rsidRPr="002F13D8" w:rsidRDefault="00453FB7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Coote v Mainline Access Pty Ltd (No 3)</w:t>
      </w:r>
      <w:r w:rsidRPr="002F13D8">
        <w:rPr>
          <w:rFonts w:ascii="Arial Narrow" w:hAnsi="Arial Narrow"/>
          <w:szCs w:val="24"/>
        </w:rPr>
        <w:t xml:space="preserve"> (2019) 344 FLR 1</w:t>
      </w:r>
      <w:r w:rsidR="00430067">
        <w:rPr>
          <w:rFonts w:ascii="Arial Narrow" w:hAnsi="Arial Narrow"/>
          <w:szCs w:val="24"/>
        </w:rPr>
        <w:t xml:space="preserve"> – appeared for the Respondent; penalty hearing.</w:t>
      </w:r>
    </w:p>
    <w:p w14:paraId="6FE05DA8" w14:textId="6AFABF2D" w:rsidR="00AC3255" w:rsidRPr="002F13D8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Hudson</w:t>
      </w:r>
      <w:r w:rsidRPr="002F13D8">
        <w:rPr>
          <w:rFonts w:ascii="Arial Narrow" w:hAnsi="Arial Narrow"/>
          <w:i/>
          <w:iCs/>
          <w:szCs w:val="24"/>
        </w:rPr>
        <w:t xml:space="preserve"> v Australian Broadcasting Corporation</w:t>
      </w:r>
      <w:r w:rsidRPr="002F13D8">
        <w:rPr>
          <w:rFonts w:ascii="Arial Narrow" w:hAnsi="Arial Narrow"/>
          <w:szCs w:val="24"/>
        </w:rPr>
        <w:t xml:space="preserve"> (2016) 311 FLR 134</w:t>
      </w:r>
      <w:r w:rsidR="00430067">
        <w:rPr>
          <w:rFonts w:ascii="Arial Narrow" w:hAnsi="Arial Narrow"/>
          <w:szCs w:val="24"/>
        </w:rPr>
        <w:t xml:space="preserve"> – appeared for the Applicant: application for maximum costs order in public interest case.</w:t>
      </w:r>
      <w:r w:rsidRPr="002F13D8">
        <w:rPr>
          <w:rFonts w:ascii="Arial Narrow" w:hAnsi="Arial Narrow"/>
          <w:szCs w:val="24"/>
        </w:rPr>
        <w:t xml:space="preserve"> </w:t>
      </w:r>
    </w:p>
    <w:p w14:paraId="0D75F5A3" w14:textId="6EA1BB77" w:rsidR="00AC3255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Lee v Procter &amp; Gamble Australia Pty Ltd &amp; anor</w:t>
      </w:r>
      <w:r w:rsidRPr="002F13D8">
        <w:rPr>
          <w:rFonts w:ascii="Arial Narrow" w:hAnsi="Arial Narrow"/>
          <w:szCs w:val="24"/>
        </w:rPr>
        <w:t xml:space="preserve"> [2012] FMCA 1000 (led by Ms C Ronalds SC)</w:t>
      </w:r>
      <w:r w:rsidR="00430067">
        <w:rPr>
          <w:rFonts w:ascii="Arial Narrow" w:hAnsi="Arial Narrow"/>
          <w:szCs w:val="24"/>
        </w:rPr>
        <w:t xml:space="preserve"> – appeared for the Applicant; application for an interlocutory injunction.</w:t>
      </w:r>
    </w:p>
    <w:p w14:paraId="5E041E0A" w14:textId="77777777" w:rsidR="002F13D8" w:rsidRPr="002F13D8" w:rsidRDefault="002F13D8" w:rsidP="002F13D8">
      <w:pPr>
        <w:pStyle w:val="ListParagraph"/>
        <w:spacing w:after="60" w:line="240" w:lineRule="auto"/>
        <w:ind w:left="357"/>
        <w:contextualSpacing w:val="0"/>
        <w:rPr>
          <w:rFonts w:ascii="Arial Narrow" w:hAnsi="Arial Narrow"/>
          <w:szCs w:val="24"/>
        </w:rPr>
      </w:pPr>
    </w:p>
    <w:p w14:paraId="015D2E95" w14:textId="77777777" w:rsidR="00AC3255" w:rsidRPr="002F13D8" w:rsidRDefault="00AC3255" w:rsidP="00AC3255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Fair Work Commission of Australia</w:t>
      </w:r>
    </w:p>
    <w:p w14:paraId="2AB8497B" w14:textId="0A78DFC2" w:rsidR="00BD13F0" w:rsidRPr="00BD13F0" w:rsidRDefault="00BD13F0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>
        <w:rPr>
          <w:rFonts w:ascii="Arial Narrow" w:hAnsi="Arial Narrow"/>
          <w:i/>
          <w:iCs/>
          <w:szCs w:val="24"/>
        </w:rPr>
        <w:t xml:space="preserve">Wood v Amigoss Preschool and Long Day Care Co-operative Ltd </w:t>
      </w:r>
      <w:r>
        <w:rPr>
          <w:rFonts w:ascii="Arial Narrow" w:hAnsi="Arial Narrow"/>
          <w:szCs w:val="24"/>
        </w:rPr>
        <w:t xml:space="preserve">[2022] FWC 2925 </w:t>
      </w:r>
      <w:r w:rsidR="00F67D30">
        <w:rPr>
          <w:rFonts w:ascii="Arial Narrow" w:hAnsi="Arial Narrow"/>
          <w:szCs w:val="24"/>
        </w:rPr>
        <w:t xml:space="preserve">- </w:t>
      </w:r>
      <w:r>
        <w:rPr>
          <w:rFonts w:ascii="Arial Narrow" w:hAnsi="Arial Narrow"/>
          <w:szCs w:val="24"/>
        </w:rPr>
        <w:t>appeared for the Applicant; unfair dismissal proceedings.</w:t>
      </w:r>
    </w:p>
    <w:p w14:paraId="684C363D" w14:textId="0A4F9949" w:rsidR="00A7644F" w:rsidRPr="002F13D8" w:rsidRDefault="00A7644F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Grantham v NSW Trains</w:t>
      </w:r>
      <w:r w:rsidRPr="002F13D8">
        <w:rPr>
          <w:rFonts w:ascii="Arial Narrow" w:hAnsi="Arial Narrow"/>
          <w:szCs w:val="24"/>
        </w:rPr>
        <w:t xml:space="preserve"> [2021] FWC 5995</w:t>
      </w:r>
      <w:r w:rsidR="00430067">
        <w:rPr>
          <w:rFonts w:ascii="Arial Narrow" w:hAnsi="Arial Narrow"/>
          <w:szCs w:val="24"/>
        </w:rPr>
        <w:t xml:space="preserve"> – appeared for the Respondent; unfair dismissal proceedings.</w:t>
      </w:r>
    </w:p>
    <w:p w14:paraId="55BC1FC8" w14:textId="7F0F6706" w:rsidR="00A7644F" w:rsidRPr="002F13D8" w:rsidRDefault="00A7644F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Brelin v Sydney Trains</w:t>
      </w:r>
      <w:r w:rsidRPr="002F13D8">
        <w:rPr>
          <w:rFonts w:ascii="Arial Narrow" w:hAnsi="Arial Narrow"/>
          <w:szCs w:val="24"/>
        </w:rPr>
        <w:t xml:space="preserve"> [2021] FWC 1314</w:t>
      </w:r>
      <w:r w:rsidR="00430067">
        <w:rPr>
          <w:rFonts w:ascii="Arial Narrow" w:hAnsi="Arial Narrow"/>
          <w:szCs w:val="24"/>
        </w:rPr>
        <w:t xml:space="preserve"> – appeared for the Respondent; unfair dismissal proceedings.</w:t>
      </w:r>
    </w:p>
    <w:p w14:paraId="676AFDFC" w14:textId="08768CDF" w:rsidR="006806A6" w:rsidRPr="002F13D8" w:rsidRDefault="006806A6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United Workers Union v KU Children’s Services</w:t>
      </w:r>
      <w:r w:rsidRPr="002F13D8">
        <w:rPr>
          <w:rFonts w:ascii="Arial Narrow" w:hAnsi="Arial Narrow"/>
          <w:szCs w:val="24"/>
        </w:rPr>
        <w:t xml:space="preserve"> [2020] FWC 5530</w:t>
      </w:r>
      <w:r w:rsidR="00430067">
        <w:rPr>
          <w:rFonts w:ascii="Arial Narrow" w:hAnsi="Arial Narrow"/>
          <w:szCs w:val="24"/>
        </w:rPr>
        <w:t xml:space="preserve">  – appeared for the Respondent; interpretation of enterprise agreement.</w:t>
      </w:r>
    </w:p>
    <w:p w14:paraId="00EB3C31" w14:textId="6C7F8191" w:rsidR="00453FB7" w:rsidRPr="002F13D8" w:rsidRDefault="00453FB7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Construction, Forestry, Maritime, Mining and Energy Union v Vysot Pty Ltd (t/as Captain Cook Cruises)</w:t>
      </w:r>
      <w:r w:rsidRPr="002F13D8">
        <w:rPr>
          <w:rFonts w:ascii="Arial Narrow" w:hAnsi="Arial Narrow"/>
          <w:szCs w:val="24"/>
        </w:rPr>
        <w:t xml:space="preserve"> [2020] FWCFB 1992 (led by Mr Hatcher SC)</w:t>
      </w:r>
      <w:r w:rsidR="00430067">
        <w:rPr>
          <w:rFonts w:ascii="Arial Narrow" w:hAnsi="Arial Narrow"/>
          <w:szCs w:val="24"/>
        </w:rPr>
        <w:t xml:space="preserve"> – appeared for the Respondent, appeal from decision to approve an enterprise agreement.</w:t>
      </w:r>
    </w:p>
    <w:p w14:paraId="327C443B" w14:textId="779C02E5" w:rsidR="00453FB7" w:rsidRPr="002F13D8" w:rsidRDefault="00453FB7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Southern Cross Care Pty Ltd v Taylor</w:t>
      </w:r>
      <w:r w:rsidRPr="002F13D8">
        <w:rPr>
          <w:rFonts w:ascii="Arial Narrow" w:hAnsi="Arial Narrow"/>
          <w:szCs w:val="24"/>
        </w:rPr>
        <w:t xml:space="preserve"> [2019] FWCFB 8252</w:t>
      </w:r>
      <w:r w:rsidR="00B34698">
        <w:rPr>
          <w:rFonts w:ascii="Arial Narrow" w:hAnsi="Arial Narrow"/>
          <w:szCs w:val="24"/>
        </w:rPr>
        <w:t xml:space="preserve"> – appeared for the Appellant; appeal regarding interpretation of enterprise agreement.</w:t>
      </w:r>
    </w:p>
    <w:p w14:paraId="1724D032" w14:textId="70DDB3BA" w:rsidR="00453FB7" w:rsidRPr="002F13D8" w:rsidRDefault="00453FB7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Peto v Ausgrid Management Pty Ltd</w:t>
      </w:r>
      <w:r w:rsidRPr="002F13D8">
        <w:rPr>
          <w:rFonts w:ascii="Arial Narrow" w:hAnsi="Arial Narrow"/>
          <w:szCs w:val="24"/>
        </w:rPr>
        <w:t xml:space="preserve"> [2019] FWC 6691 </w:t>
      </w:r>
      <w:r w:rsidR="00B34698">
        <w:rPr>
          <w:rFonts w:ascii="Arial Narrow" w:hAnsi="Arial Narrow"/>
          <w:szCs w:val="24"/>
        </w:rPr>
        <w:t xml:space="preserve">– appeared for the Respondent; </w:t>
      </w:r>
      <w:r w:rsidR="00F73176">
        <w:rPr>
          <w:rFonts w:ascii="Arial Narrow" w:hAnsi="Arial Narrow"/>
          <w:szCs w:val="24"/>
        </w:rPr>
        <w:t xml:space="preserve">a dispute regarding a matter arising under an enterprise agreement. </w:t>
      </w:r>
    </w:p>
    <w:p w14:paraId="364E0EAE" w14:textId="1EBC5704" w:rsidR="00453FB7" w:rsidRPr="002F13D8" w:rsidRDefault="00453FB7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Re Loaded Rates Agreement</w:t>
      </w:r>
      <w:r w:rsidRPr="002F13D8">
        <w:rPr>
          <w:rFonts w:ascii="Arial Narrow" w:hAnsi="Arial Narrow"/>
          <w:szCs w:val="24"/>
        </w:rPr>
        <w:t xml:space="preserve"> </w:t>
      </w:r>
      <w:r w:rsidR="00007392" w:rsidRPr="002F13D8">
        <w:rPr>
          <w:rFonts w:ascii="Arial Narrow" w:hAnsi="Arial Narrow"/>
          <w:szCs w:val="24"/>
        </w:rPr>
        <w:t>[</w:t>
      </w:r>
      <w:r w:rsidRPr="002F13D8">
        <w:rPr>
          <w:rFonts w:ascii="Arial Narrow" w:hAnsi="Arial Narrow"/>
          <w:szCs w:val="24"/>
        </w:rPr>
        <w:t>2019] FWCFB 3610 (led by Mr Hatcher SC)</w:t>
      </w:r>
      <w:r w:rsidR="00F73176">
        <w:rPr>
          <w:rFonts w:ascii="Arial Narrow" w:hAnsi="Arial Narrow"/>
          <w:szCs w:val="24"/>
        </w:rPr>
        <w:t xml:space="preserve"> – appeared for ALDI Foods Pty Ltd; approval of an enterprise agreement.</w:t>
      </w:r>
    </w:p>
    <w:p w14:paraId="440CACB8" w14:textId="3A63097F" w:rsidR="00453FB7" w:rsidRPr="002F13D8" w:rsidRDefault="00453FB7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Miao v ANZ Banking Group Pty Ltd</w:t>
      </w:r>
      <w:r w:rsidRPr="002F13D8">
        <w:rPr>
          <w:rFonts w:ascii="Arial Narrow" w:hAnsi="Arial Narrow"/>
          <w:szCs w:val="24"/>
        </w:rPr>
        <w:t xml:space="preserve"> [2018] FWC 6786</w:t>
      </w:r>
      <w:r w:rsidR="00F73176">
        <w:rPr>
          <w:rFonts w:ascii="Arial Narrow" w:hAnsi="Arial Narrow"/>
          <w:szCs w:val="24"/>
        </w:rPr>
        <w:t xml:space="preserve"> – appeared for the Respondent; unfair dismissal proceedings.</w:t>
      </w:r>
    </w:p>
    <w:p w14:paraId="49D6F6A3" w14:textId="749D4F4F" w:rsidR="00B055AF" w:rsidRPr="002F13D8" w:rsidRDefault="00B055AF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 xml:space="preserve">Strezoski v Telstra Corporation Ltd </w:t>
      </w:r>
      <w:r w:rsidR="00865DCE" w:rsidRPr="002F13D8">
        <w:rPr>
          <w:rFonts w:ascii="Arial Narrow" w:hAnsi="Arial Narrow"/>
          <w:i/>
          <w:iCs/>
          <w:szCs w:val="24"/>
        </w:rPr>
        <w:t>T/A Telstra</w:t>
      </w:r>
      <w:r w:rsidR="00865DCE" w:rsidRPr="002F13D8">
        <w:rPr>
          <w:rFonts w:ascii="Arial Narrow" w:hAnsi="Arial Narrow"/>
          <w:szCs w:val="24"/>
        </w:rPr>
        <w:t xml:space="preserve"> [</w:t>
      </w:r>
      <w:r w:rsidRPr="002F13D8">
        <w:rPr>
          <w:rFonts w:ascii="Arial Narrow" w:hAnsi="Arial Narrow"/>
          <w:szCs w:val="24"/>
        </w:rPr>
        <w:t>2017] FWC 5607</w:t>
      </w:r>
      <w:r w:rsidR="00F73176">
        <w:rPr>
          <w:rFonts w:ascii="Arial Narrow" w:hAnsi="Arial Narrow"/>
          <w:szCs w:val="24"/>
        </w:rPr>
        <w:t xml:space="preserve"> – appeared for the Respondent; unfair dismissal proceedings.</w:t>
      </w:r>
    </w:p>
    <w:p w14:paraId="6ED0BEBA" w14:textId="43DC12B1" w:rsidR="00AC3255" w:rsidRPr="002F13D8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Jimenez</w:t>
      </w:r>
      <w:r w:rsidRPr="002F13D8">
        <w:rPr>
          <w:rFonts w:ascii="Arial Narrow" w:hAnsi="Arial Narrow"/>
          <w:i/>
          <w:iCs/>
          <w:szCs w:val="24"/>
        </w:rPr>
        <w:t xml:space="preserve"> v Platypus Pty Ltd</w:t>
      </w:r>
      <w:r w:rsidRPr="002F13D8">
        <w:rPr>
          <w:rFonts w:ascii="Arial Narrow" w:hAnsi="Arial Narrow"/>
          <w:szCs w:val="24"/>
        </w:rPr>
        <w:t xml:space="preserve"> [2016] FWCFB 7201 </w:t>
      </w:r>
      <w:r w:rsidR="00F73176">
        <w:rPr>
          <w:rFonts w:ascii="Arial Narrow" w:hAnsi="Arial Narrow"/>
          <w:szCs w:val="24"/>
        </w:rPr>
        <w:t>- – appeared for the Respondent; appeal from unfair dismissal proceedings.</w:t>
      </w:r>
    </w:p>
    <w:p w14:paraId="52A14071" w14:textId="77777777" w:rsidR="002F13D8" w:rsidRPr="002F13D8" w:rsidRDefault="002F13D8" w:rsidP="002F13D8">
      <w:pPr>
        <w:pStyle w:val="ListParagraph"/>
        <w:spacing w:after="60" w:line="240" w:lineRule="auto"/>
        <w:ind w:left="357"/>
        <w:contextualSpacing w:val="0"/>
        <w:rPr>
          <w:rFonts w:ascii="Arial Narrow" w:hAnsi="Arial Narrow"/>
          <w:szCs w:val="24"/>
        </w:rPr>
      </w:pPr>
    </w:p>
    <w:p w14:paraId="5259469F" w14:textId="77777777" w:rsidR="007D3BC7" w:rsidRPr="002F13D8" w:rsidRDefault="007D3BC7" w:rsidP="007D3BC7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NSW Court of Criminal Appeal</w:t>
      </w:r>
    </w:p>
    <w:p w14:paraId="45F732D4" w14:textId="5B640396" w:rsidR="007D3BC7" w:rsidRDefault="007D3BC7" w:rsidP="007D3BC7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szCs w:val="24"/>
        </w:rPr>
        <w:t>Geitonia</w:t>
      </w:r>
      <w:r w:rsidRPr="002F13D8">
        <w:rPr>
          <w:rFonts w:ascii="Arial Narrow" w:hAnsi="Arial Narrow"/>
          <w:szCs w:val="24"/>
        </w:rPr>
        <w:t xml:space="preserve"> Pty Ltd v Inner West Council [2016] NSWCCA 186 (led by Mr T Howard SC) </w:t>
      </w:r>
      <w:r w:rsidR="00F73176">
        <w:rPr>
          <w:rFonts w:ascii="Arial Narrow" w:hAnsi="Arial Narrow"/>
          <w:szCs w:val="24"/>
        </w:rPr>
        <w:t>– appeared for the Appellant; appeal from the Land Environment Court,</w:t>
      </w:r>
    </w:p>
    <w:p w14:paraId="0D6C45ED" w14:textId="77777777" w:rsidR="002F13D8" w:rsidRPr="002F13D8" w:rsidRDefault="002F13D8" w:rsidP="002F13D8">
      <w:pPr>
        <w:pStyle w:val="ListParagraph"/>
        <w:spacing w:after="60" w:line="240" w:lineRule="auto"/>
        <w:ind w:left="357"/>
        <w:contextualSpacing w:val="0"/>
        <w:rPr>
          <w:rFonts w:ascii="Arial Narrow" w:hAnsi="Arial Narrow"/>
          <w:szCs w:val="24"/>
        </w:rPr>
      </w:pPr>
    </w:p>
    <w:p w14:paraId="4B689904" w14:textId="6E4561EF" w:rsidR="00453FB7" w:rsidRPr="002F13D8" w:rsidRDefault="007D3BC7" w:rsidP="007D3BC7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lastRenderedPageBreak/>
        <w:t>NSW Court of Appeal</w:t>
      </w:r>
      <w:r w:rsidR="00453FB7" w:rsidRPr="002F13D8">
        <w:rPr>
          <w:rFonts w:ascii="Arial Narrow" w:hAnsi="Arial Narrow"/>
          <w:b/>
          <w:bCs/>
          <w:szCs w:val="24"/>
        </w:rPr>
        <w:t xml:space="preserve"> and Supreme Court</w:t>
      </w:r>
    </w:p>
    <w:p w14:paraId="043E8A1E" w14:textId="7100071D" w:rsidR="00453FB7" w:rsidRPr="002F13D8" w:rsidRDefault="00453FB7" w:rsidP="007D3BC7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UP Australia Pty Ltd v McDonald</w:t>
      </w:r>
      <w:r w:rsidRPr="002F13D8">
        <w:rPr>
          <w:rFonts w:ascii="Arial Narrow" w:hAnsi="Arial Narrow"/>
          <w:szCs w:val="24"/>
        </w:rPr>
        <w:t xml:space="preserve"> [2018] NSWSC 218</w:t>
      </w:r>
      <w:r w:rsidR="00F73176">
        <w:rPr>
          <w:rFonts w:ascii="Arial Narrow" w:hAnsi="Arial Narrow"/>
          <w:szCs w:val="24"/>
        </w:rPr>
        <w:t xml:space="preserve"> – appeared for the Second </w:t>
      </w:r>
      <w:r w:rsidR="00F33E68">
        <w:rPr>
          <w:rFonts w:ascii="Arial Narrow" w:hAnsi="Arial Narrow"/>
          <w:szCs w:val="24"/>
        </w:rPr>
        <w:t>Defendant; restraint of trade in employment.</w:t>
      </w:r>
    </w:p>
    <w:p w14:paraId="576424E4" w14:textId="7C51B115" w:rsidR="007D3BC7" w:rsidRDefault="007D3BC7" w:rsidP="007D3BC7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OV</w:t>
      </w:r>
      <w:r w:rsidRPr="002F13D8">
        <w:rPr>
          <w:rFonts w:ascii="Arial Narrow" w:hAnsi="Arial Narrow"/>
          <w:i/>
          <w:iCs/>
          <w:szCs w:val="24"/>
        </w:rPr>
        <w:t xml:space="preserve"> &amp; OW v Members of the Board of Wesley Mission</w:t>
      </w:r>
      <w:r w:rsidRPr="002F13D8">
        <w:rPr>
          <w:rFonts w:ascii="Arial Narrow" w:hAnsi="Arial Narrow"/>
          <w:szCs w:val="24"/>
        </w:rPr>
        <w:t xml:space="preserve"> (2010) 79 NSWLR 606 (led by Ms Ronalds SC) </w:t>
      </w:r>
      <w:r w:rsidR="00F33E68">
        <w:rPr>
          <w:rFonts w:ascii="Arial Narrow" w:hAnsi="Arial Narrow"/>
          <w:szCs w:val="24"/>
        </w:rPr>
        <w:t>– appeared for the Appellants; appeal from the Appeal Panel of the Administrative Decisions Tribunal.</w:t>
      </w:r>
    </w:p>
    <w:p w14:paraId="18BE15D3" w14:textId="77777777" w:rsidR="002F13D8" w:rsidRPr="002F13D8" w:rsidRDefault="002F13D8" w:rsidP="002F13D8">
      <w:pPr>
        <w:pStyle w:val="ListParagraph"/>
        <w:spacing w:after="60" w:line="240" w:lineRule="auto"/>
        <w:ind w:left="357"/>
        <w:contextualSpacing w:val="0"/>
        <w:rPr>
          <w:rFonts w:ascii="Arial Narrow" w:hAnsi="Arial Narrow"/>
          <w:szCs w:val="24"/>
        </w:rPr>
      </w:pPr>
    </w:p>
    <w:p w14:paraId="37E83477" w14:textId="140F10A6" w:rsidR="007D3BC7" w:rsidRPr="002F13D8" w:rsidRDefault="007D3BC7" w:rsidP="007D3BC7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 xml:space="preserve">Industrial Relations Commission of </w:t>
      </w:r>
      <w:r w:rsidR="00834082" w:rsidRPr="002F13D8">
        <w:rPr>
          <w:rFonts w:ascii="Arial Narrow" w:hAnsi="Arial Narrow"/>
          <w:b/>
          <w:bCs/>
          <w:szCs w:val="24"/>
        </w:rPr>
        <w:t>NSW</w:t>
      </w:r>
      <w:r w:rsidRPr="002F13D8">
        <w:rPr>
          <w:rFonts w:ascii="Arial Narrow" w:hAnsi="Arial Narrow"/>
          <w:b/>
          <w:bCs/>
          <w:szCs w:val="24"/>
        </w:rPr>
        <w:t xml:space="preserve"> </w:t>
      </w:r>
    </w:p>
    <w:p w14:paraId="68CE3FC1" w14:textId="4FBD50E4" w:rsidR="00453FB7" w:rsidRPr="002F13D8" w:rsidRDefault="00453FB7" w:rsidP="007D3BC7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Narayan v Industrial Relations Secretary (Department of Communities and Justice, Corrective Services NSW)</w:t>
      </w:r>
      <w:r w:rsidRPr="002F13D8">
        <w:rPr>
          <w:rFonts w:ascii="Arial Narrow" w:hAnsi="Arial Narrow"/>
          <w:szCs w:val="24"/>
        </w:rPr>
        <w:t xml:space="preserve"> [2020] NSWIRComm 1014</w:t>
      </w:r>
      <w:r w:rsidR="00F33E68">
        <w:rPr>
          <w:rFonts w:ascii="Arial Narrow" w:hAnsi="Arial Narrow"/>
          <w:szCs w:val="24"/>
        </w:rPr>
        <w:t xml:space="preserve"> – appeared for the Respondent; unfair dismissal proceedings.</w:t>
      </w:r>
    </w:p>
    <w:p w14:paraId="57AADEA6" w14:textId="56949B05" w:rsidR="001E31B0" w:rsidRPr="002F13D8" w:rsidRDefault="001E31B0" w:rsidP="002F13D8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jc w:val="left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Re</w:t>
      </w:r>
      <w:r w:rsidR="002F13D8" w:rsidRPr="002F13D8">
        <w:rPr>
          <w:rFonts w:ascii="Arial Narrow" w:hAnsi="Arial Narrow"/>
          <w:i/>
          <w:iCs/>
          <w:szCs w:val="24"/>
        </w:rPr>
        <w:t xml:space="preserve"> </w:t>
      </w:r>
      <w:r w:rsidRPr="002F13D8">
        <w:rPr>
          <w:rFonts w:ascii="Arial Narrow" w:hAnsi="Arial Narrow"/>
          <w:i/>
          <w:iCs/>
          <w:szCs w:val="24"/>
        </w:rPr>
        <w:t>Crown Employees (New South Wales Department of Family and Community Services) Residential Centre Support Services Staff Award 2015</w:t>
      </w:r>
      <w:r w:rsidRPr="002F13D8">
        <w:rPr>
          <w:rFonts w:ascii="Arial Narrow" w:hAnsi="Arial Narrow"/>
          <w:szCs w:val="24"/>
        </w:rPr>
        <w:t xml:space="preserve"> (2017) 270 IR 19 (led by Mr Kenzie QC with Mr Warren)</w:t>
      </w:r>
      <w:r w:rsidR="00F33E68">
        <w:rPr>
          <w:rFonts w:ascii="Arial Narrow" w:hAnsi="Arial Narrow"/>
          <w:szCs w:val="24"/>
        </w:rPr>
        <w:t xml:space="preserve"> – appeared for the Respondent; variation to public sector awards following </w:t>
      </w:r>
      <w:r w:rsidR="00F67D30">
        <w:rPr>
          <w:rFonts w:ascii="Arial Narrow" w:hAnsi="Arial Narrow"/>
          <w:szCs w:val="24"/>
        </w:rPr>
        <w:t xml:space="preserve">the </w:t>
      </w:r>
      <w:r w:rsidR="00F33E68">
        <w:rPr>
          <w:rFonts w:ascii="Arial Narrow" w:hAnsi="Arial Narrow"/>
          <w:szCs w:val="24"/>
        </w:rPr>
        <w:t xml:space="preserve">transfer of public sector employees to non-government employers. </w:t>
      </w:r>
    </w:p>
    <w:p w14:paraId="623199D0" w14:textId="5C276715" w:rsidR="007D3BC7" w:rsidRPr="002F13D8" w:rsidRDefault="007D3BC7" w:rsidP="007D3BC7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Transport</w:t>
      </w:r>
      <w:r w:rsidRPr="002F13D8">
        <w:rPr>
          <w:rFonts w:ascii="Arial Narrow" w:hAnsi="Arial Narrow"/>
          <w:i/>
          <w:iCs/>
          <w:szCs w:val="24"/>
        </w:rPr>
        <w:t xml:space="preserve"> Industry General Contract Carriage Determination</w:t>
      </w:r>
      <w:r w:rsidR="00851EC5" w:rsidRPr="002F13D8">
        <w:rPr>
          <w:rFonts w:ascii="Arial Narrow" w:hAnsi="Arial Narrow"/>
          <w:szCs w:val="24"/>
        </w:rPr>
        <w:t xml:space="preserve"> (2017) 268 IR 48</w:t>
      </w:r>
      <w:r w:rsidRPr="002F13D8">
        <w:rPr>
          <w:rFonts w:ascii="Arial Narrow" w:hAnsi="Arial Narrow"/>
          <w:szCs w:val="24"/>
        </w:rPr>
        <w:t xml:space="preserve"> </w:t>
      </w:r>
      <w:r w:rsidR="00F33E68">
        <w:rPr>
          <w:rFonts w:ascii="Arial Narrow" w:hAnsi="Arial Narrow"/>
          <w:szCs w:val="24"/>
        </w:rPr>
        <w:t>– appeared for the Minister of Industrial Relations; creation of a new determination.</w:t>
      </w:r>
    </w:p>
    <w:p w14:paraId="72A06784" w14:textId="752B6FF0" w:rsidR="006806A6" w:rsidRPr="002F13D8" w:rsidRDefault="006806A6" w:rsidP="007D3BC7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Cunningham v Industrial Relations Secretary</w:t>
      </w:r>
      <w:r w:rsidRPr="002F13D8">
        <w:rPr>
          <w:rFonts w:ascii="Arial Narrow" w:hAnsi="Arial Narrow" w:cs="Times New Roman"/>
          <w:szCs w:val="24"/>
        </w:rPr>
        <w:t xml:space="preserve"> [2017] NSWIRComm 1063</w:t>
      </w:r>
      <w:r w:rsidR="00F33E68">
        <w:rPr>
          <w:rFonts w:ascii="Arial Narrow" w:hAnsi="Arial Narrow"/>
          <w:szCs w:val="24"/>
        </w:rPr>
        <w:t xml:space="preserve"> – appeared for the Respondent; public sector appeal.</w:t>
      </w:r>
    </w:p>
    <w:p w14:paraId="6264FCE4" w14:textId="6EF95EF7" w:rsidR="00BA3234" w:rsidRDefault="007D3BC7" w:rsidP="00BA3234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NSW Ambulance Death and Income Protection Benefits Interim (State) Award</w:t>
      </w:r>
      <w:r w:rsidR="00BA3234" w:rsidRPr="002F13D8">
        <w:rPr>
          <w:rFonts w:ascii="Arial Narrow" w:hAnsi="Arial Narrow"/>
          <w:szCs w:val="24"/>
        </w:rPr>
        <w:t xml:space="preserve"> (2016) 257 IR 33</w:t>
      </w:r>
      <w:r w:rsidR="00F33E68">
        <w:rPr>
          <w:rFonts w:ascii="Arial Narrow" w:hAnsi="Arial Narrow"/>
          <w:szCs w:val="24"/>
        </w:rPr>
        <w:t xml:space="preserve"> </w:t>
      </w:r>
      <w:r w:rsidR="009F21D1">
        <w:rPr>
          <w:rFonts w:ascii="Arial Narrow" w:hAnsi="Arial Narrow"/>
          <w:szCs w:val="24"/>
        </w:rPr>
        <w:t>–</w:t>
      </w:r>
      <w:r w:rsidR="00F33E68">
        <w:rPr>
          <w:rFonts w:ascii="Arial Narrow" w:hAnsi="Arial Narrow"/>
          <w:szCs w:val="24"/>
        </w:rPr>
        <w:t xml:space="preserve"> </w:t>
      </w:r>
      <w:r w:rsidR="009F21D1">
        <w:rPr>
          <w:rFonts w:ascii="Arial Narrow" w:hAnsi="Arial Narrow"/>
          <w:szCs w:val="24"/>
        </w:rPr>
        <w:t>appeared for the Industrial Relations Secretary; creation of a new award.</w:t>
      </w:r>
    </w:p>
    <w:p w14:paraId="2FC94F2F" w14:textId="77777777" w:rsidR="004B3E03" w:rsidRPr="002F13D8" w:rsidRDefault="004B3E03" w:rsidP="004B3E03">
      <w:pPr>
        <w:pStyle w:val="ListParagraph"/>
        <w:tabs>
          <w:tab w:val="left" w:pos="360"/>
          <w:tab w:val="left" w:pos="1440"/>
        </w:tabs>
        <w:spacing w:after="60" w:line="240" w:lineRule="auto"/>
        <w:ind w:left="357"/>
        <w:contextualSpacing w:val="0"/>
        <w:rPr>
          <w:rFonts w:ascii="Arial Narrow" w:hAnsi="Arial Narrow"/>
          <w:szCs w:val="24"/>
        </w:rPr>
      </w:pPr>
    </w:p>
    <w:p w14:paraId="633A3C8C" w14:textId="2E74DEFB" w:rsidR="00AC3255" w:rsidRPr="002F13D8" w:rsidRDefault="00AC3255" w:rsidP="00BA3234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b/>
          <w:bCs/>
          <w:szCs w:val="24"/>
        </w:rPr>
      </w:pPr>
      <w:r w:rsidRPr="002F13D8">
        <w:rPr>
          <w:rFonts w:ascii="Arial Narrow" w:hAnsi="Arial Narrow"/>
          <w:b/>
          <w:bCs/>
          <w:szCs w:val="24"/>
        </w:rPr>
        <w:t>New South Wales Civil and Administrative Tribunal</w:t>
      </w:r>
    </w:p>
    <w:p w14:paraId="0BB5058C" w14:textId="39C173FF" w:rsidR="00A7644F" w:rsidRPr="002F13D8" w:rsidRDefault="00A7644F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Walsh v Amobee ANZ Pty Ltd</w:t>
      </w:r>
      <w:r w:rsidRPr="002F13D8">
        <w:rPr>
          <w:rFonts w:ascii="Arial Narrow" w:hAnsi="Arial Narrow"/>
          <w:szCs w:val="24"/>
        </w:rPr>
        <w:t xml:space="preserve"> [2022] NSWCATAD 257</w:t>
      </w:r>
      <w:r w:rsidR="00F33E68">
        <w:rPr>
          <w:rFonts w:ascii="Arial Narrow" w:hAnsi="Arial Narrow"/>
          <w:szCs w:val="24"/>
        </w:rPr>
        <w:t xml:space="preserve"> – appeared for the Applicant; leave to commence proceedings.</w:t>
      </w:r>
    </w:p>
    <w:p w14:paraId="4C31B741" w14:textId="2EF0AD2A" w:rsidR="00AC3255" w:rsidRPr="002F13D8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 w:cs="Times New Roman"/>
          <w:i/>
          <w:iCs/>
          <w:szCs w:val="24"/>
        </w:rPr>
        <w:t>Cameron</w:t>
      </w:r>
      <w:r w:rsidRPr="002F13D8">
        <w:rPr>
          <w:rFonts w:ascii="Arial Narrow" w:hAnsi="Arial Narrow"/>
          <w:i/>
          <w:iCs/>
          <w:szCs w:val="24"/>
        </w:rPr>
        <w:t xml:space="preserve"> v Commissioner of Police, NSW Police Force</w:t>
      </w:r>
      <w:r w:rsidRPr="002F13D8">
        <w:rPr>
          <w:rFonts w:ascii="Arial Narrow" w:hAnsi="Arial Narrow"/>
          <w:szCs w:val="24"/>
        </w:rPr>
        <w:t xml:space="preserve"> [2016] NSWCATAD 281 </w:t>
      </w:r>
      <w:r w:rsidR="00F33E68">
        <w:rPr>
          <w:rFonts w:ascii="Arial Narrow" w:hAnsi="Arial Narrow"/>
          <w:szCs w:val="24"/>
        </w:rPr>
        <w:t>– appeared for the Respondent; claim of discrimination in employment.</w:t>
      </w:r>
    </w:p>
    <w:p w14:paraId="2A5014C7" w14:textId="3D3847F3" w:rsidR="00AC3255" w:rsidRPr="002F13D8" w:rsidRDefault="00AC3255" w:rsidP="00AC325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  <w:szCs w:val="24"/>
        </w:rPr>
      </w:pPr>
      <w:r w:rsidRPr="002F13D8">
        <w:rPr>
          <w:rFonts w:ascii="Arial Narrow" w:hAnsi="Arial Narrow"/>
          <w:i/>
          <w:iCs/>
          <w:szCs w:val="24"/>
        </w:rPr>
        <w:t>CNE v Children’s Guardian</w:t>
      </w:r>
      <w:r w:rsidRPr="002F13D8">
        <w:rPr>
          <w:rFonts w:ascii="Arial Narrow" w:hAnsi="Arial Narrow"/>
          <w:szCs w:val="24"/>
        </w:rPr>
        <w:t xml:space="preserve"> [2017] NSWCATAD 41</w:t>
      </w:r>
      <w:r w:rsidR="00F33E68">
        <w:rPr>
          <w:rFonts w:ascii="Arial Narrow" w:hAnsi="Arial Narrow"/>
          <w:szCs w:val="24"/>
        </w:rPr>
        <w:t xml:space="preserve"> – appeared for the Respondent; </w:t>
      </w:r>
      <w:r w:rsidR="00F67D30">
        <w:rPr>
          <w:rFonts w:ascii="Arial Narrow" w:hAnsi="Arial Narrow"/>
          <w:szCs w:val="24"/>
        </w:rPr>
        <w:t xml:space="preserve">review under section 27 </w:t>
      </w:r>
      <w:r w:rsidR="00F67D30">
        <w:rPr>
          <w:rFonts w:ascii="Arial Narrow" w:hAnsi="Arial Narrow"/>
          <w:i/>
          <w:iCs/>
          <w:szCs w:val="24"/>
        </w:rPr>
        <w:t>Child Protection (Working with Children) Act 2012</w:t>
      </w:r>
      <w:r w:rsidR="00F67D30">
        <w:rPr>
          <w:rFonts w:ascii="Arial Narrow" w:hAnsi="Arial Narrow"/>
          <w:szCs w:val="24"/>
        </w:rPr>
        <w:t>.</w:t>
      </w:r>
    </w:p>
    <w:p w14:paraId="5D39D9CD" w14:textId="77777777" w:rsidR="00AC3255" w:rsidRPr="002F13D8" w:rsidRDefault="00AC3255" w:rsidP="00BC04F8">
      <w:pPr>
        <w:tabs>
          <w:tab w:val="left" w:pos="360"/>
          <w:tab w:val="left" w:pos="1440"/>
        </w:tabs>
        <w:spacing w:after="60" w:line="240" w:lineRule="auto"/>
        <w:rPr>
          <w:rFonts w:ascii="Arial Narrow" w:hAnsi="Arial Narrow"/>
          <w:szCs w:val="24"/>
        </w:rPr>
      </w:pPr>
    </w:p>
    <w:sectPr w:rsidR="00AC3255" w:rsidRPr="002F13D8" w:rsidSect="007D3BC7">
      <w:headerReference w:type="default" r:id="rId14"/>
      <w:footerReference w:type="default" r:id="rId15"/>
      <w:pgSz w:w="11906" w:h="16838" w:code="9"/>
      <w:pgMar w:top="1440" w:right="1440" w:bottom="1440" w:left="144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3F1D" w14:textId="77777777" w:rsidR="00EF5D30" w:rsidRDefault="00EF5D30" w:rsidP="00581E57">
      <w:pPr>
        <w:spacing w:after="0" w:line="240" w:lineRule="auto"/>
      </w:pPr>
      <w:r>
        <w:separator/>
      </w:r>
    </w:p>
  </w:endnote>
  <w:endnote w:type="continuationSeparator" w:id="0">
    <w:p w14:paraId="48ED0FA7" w14:textId="77777777" w:rsidR="00EF5D30" w:rsidRDefault="00EF5D30" w:rsidP="005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CA73" w14:textId="77777777" w:rsidR="0016270E" w:rsidRDefault="00162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4283" w14:textId="77777777" w:rsidR="000165BB" w:rsidRDefault="000165BB" w:rsidP="003A20FD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14:paraId="7D91A202" w14:textId="77777777" w:rsidR="000165BB" w:rsidRPr="0016270E" w:rsidRDefault="000165BB" w:rsidP="00383D35">
    <w:pPr>
      <w:pStyle w:val="Footer"/>
      <w:tabs>
        <w:tab w:val="clear" w:pos="4513"/>
        <w:tab w:val="center" w:pos="4820"/>
      </w:tabs>
      <w:jc w:val="center"/>
      <w:rPr>
        <w:sz w:val="18"/>
        <w:szCs w:val="18"/>
      </w:rPr>
    </w:pPr>
  </w:p>
  <w:p w14:paraId="570121D5" w14:textId="77777777" w:rsidR="000165BB" w:rsidRPr="0016270E" w:rsidRDefault="000165BB" w:rsidP="00383D35">
    <w:pPr>
      <w:pStyle w:val="Footer"/>
      <w:tabs>
        <w:tab w:val="clear" w:pos="4513"/>
        <w:tab w:val="clear" w:pos="9026"/>
        <w:tab w:val="center" w:pos="4820"/>
        <w:tab w:val="right" w:pos="9639"/>
      </w:tabs>
      <w:jc w:val="center"/>
      <w:rPr>
        <w:rFonts w:ascii="Arial Narrow" w:hAnsi="Arial Narrow"/>
        <w:i/>
        <w:iCs/>
        <w:sz w:val="18"/>
        <w:szCs w:val="18"/>
      </w:rPr>
    </w:pPr>
    <w:r w:rsidRPr="0016270E">
      <w:rPr>
        <w:rFonts w:ascii="Arial Narrow" w:hAnsi="Arial Narrow"/>
        <w:i/>
        <w:iCs/>
        <w:sz w:val="18"/>
        <w:szCs w:val="18"/>
      </w:rPr>
      <w:t>Liability limited by a scheme approved under Professional Standards Legislation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0272" w14:textId="77777777" w:rsidR="0016270E" w:rsidRDefault="001627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D912" w14:textId="77777777" w:rsidR="00AC3255" w:rsidRDefault="00AC3255" w:rsidP="003A20FD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14:paraId="131A6DE5" w14:textId="77777777" w:rsidR="00AC3255" w:rsidRPr="00FB2B1C" w:rsidRDefault="00AC3255" w:rsidP="00383D35">
    <w:pPr>
      <w:pStyle w:val="Footer"/>
      <w:tabs>
        <w:tab w:val="clear" w:pos="4513"/>
        <w:tab w:val="center" w:pos="4820"/>
      </w:tabs>
      <w:jc w:val="center"/>
      <w:rPr>
        <w:sz w:val="16"/>
        <w:szCs w:val="16"/>
      </w:rPr>
    </w:pPr>
  </w:p>
  <w:p w14:paraId="77F6A276" w14:textId="77777777" w:rsidR="00AC3255" w:rsidRPr="0016270E" w:rsidRDefault="00AC3255" w:rsidP="00383D35">
    <w:pPr>
      <w:pStyle w:val="Footer"/>
      <w:tabs>
        <w:tab w:val="clear" w:pos="4513"/>
        <w:tab w:val="clear" w:pos="9026"/>
        <w:tab w:val="center" w:pos="4820"/>
        <w:tab w:val="right" w:pos="9639"/>
      </w:tabs>
      <w:jc w:val="center"/>
      <w:rPr>
        <w:rFonts w:ascii="Arial Narrow" w:hAnsi="Arial Narrow"/>
        <w:i/>
        <w:iCs/>
        <w:sz w:val="18"/>
        <w:szCs w:val="18"/>
      </w:rPr>
    </w:pPr>
    <w:r w:rsidRPr="0016270E">
      <w:rPr>
        <w:rFonts w:ascii="Arial Narrow" w:hAnsi="Arial Narrow"/>
        <w:i/>
        <w:iCs/>
        <w:sz w:val="18"/>
        <w:szCs w:val="18"/>
      </w:rPr>
      <w:t>Liability limited by a scheme approved under Professional Standards Legislation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A716" w14:textId="77777777" w:rsidR="00EF5D30" w:rsidRDefault="00EF5D30" w:rsidP="00581E57">
      <w:pPr>
        <w:spacing w:after="0" w:line="240" w:lineRule="auto"/>
      </w:pPr>
      <w:r>
        <w:separator/>
      </w:r>
    </w:p>
  </w:footnote>
  <w:footnote w:type="continuationSeparator" w:id="0">
    <w:p w14:paraId="320909BF" w14:textId="77777777" w:rsidR="00EF5D30" w:rsidRDefault="00EF5D30" w:rsidP="005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9385" w14:textId="77777777" w:rsidR="0016270E" w:rsidRDefault="0016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46BC" w14:textId="77777777" w:rsidR="000165BB" w:rsidRPr="002F13D8" w:rsidRDefault="000165BB" w:rsidP="00402310">
    <w:pPr>
      <w:pStyle w:val="Header"/>
      <w:tabs>
        <w:tab w:val="clear" w:pos="4513"/>
        <w:tab w:val="clear" w:pos="9026"/>
        <w:tab w:val="right" w:pos="9639"/>
      </w:tabs>
      <w:jc w:val="center"/>
      <w:rPr>
        <w:rFonts w:ascii="Arial Narrow" w:hAnsi="Arial Narrow"/>
        <w:b/>
        <w:bCs/>
        <w:sz w:val="28"/>
        <w:szCs w:val="28"/>
      </w:rPr>
    </w:pPr>
    <w:r w:rsidRPr="002F13D8">
      <w:rPr>
        <w:rFonts w:ascii="Arial Narrow" w:hAnsi="Arial Narrow"/>
        <w:b/>
        <w:bCs/>
        <w:sz w:val="28"/>
        <w:szCs w:val="28"/>
      </w:rPr>
      <w:t>A N N A   P E R I G O</w:t>
    </w:r>
  </w:p>
  <w:p w14:paraId="16FC6621" w14:textId="77777777" w:rsidR="000165BB" w:rsidRPr="002F13D8" w:rsidRDefault="000165BB" w:rsidP="00402310">
    <w:pPr>
      <w:pStyle w:val="Header"/>
      <w:tabs>
        <w:tab w:val="clear" w:pos="4513"/>
        <w:tab w:val="clear" w:pos="9026"/>
        <w:tab w:val="right" w:pos="9639"/>
      </w:tabs>
      <w:jc w:val="center"/>
      <w:rPr>
        <w:rFonts w:ascii="Arial Narrow" w:hAnsi="Arial Narrow"/>
        <w:sz w:val="28"/>
        <w:szCs w:val="28"/>
      </w:rPr>
    </w:pPr>
    <w:r w:rsidRPr="002F13D8">
      <w:rPr>
        <w:rFonts w:ascii="Arial Narrow" w:hAnsi="Arial Narrow"/>
        <w:sz w:val="28"/>
        <w:szCs w:val="28"/>
      </w:rPr>
      <w:t>Barrister</w:t>
    </w:r>
  </w:p>
  <w:p w14:paraId="6BE6AC91" w14:textId="77777777" w:rsidR="007C2FB4" w:rsidRPr="006E45DF" w:rsidRDefault="007C2FB4" w:rsidP="00402310">
    <w:pPr>
      <w:pStyle w:val="Header"/>
      <w:tabs>
        <w:tab w:val="clear" w:pos="4513"/>
        <w:tab w:val="clear" w:pos="9026"/>
        <w:tab w:val="right" w:pos="9639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F835" w14:textId="77777777" w:rsidR="0016270E" w:rsidRDefault="001627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930B" w14:textId="77777777" w:rsidR="00AC3255" w:rsidRPr="00195095" w:rsidRDefault="00AC3255" w:rsidP="00402310">
    <w:pPr>
      <w:pStyle w:val="Header"/>
      <w:tabs>
        <w:tab w:val="clear" w:pos="4513"/>
        <w:tab w:val="clear" w:pos="9026"/>
        <w:tab w:val="right" w:pos="9639"/>
      </w:tabs>
      <w:jc w:val="center"/>
      <w:rPr>
        <w:rFonts w:ascii="Calibri" w:hAnsi="Calibri"/>
        <w:b/>
        <w:sz w:val="30"/>
      </w:rPr>
    </w:pPr>
    <w:r>
      <w:rPr>
        <w:rFonts w:ascii="Calibri" w:hAnsi="Calibri"/>
        <w:b/>
        <w:sz w:val="30"/>
      </w:rPr>
      <w:t>A N N A   P E R I G O</w:t>
    </w:r>
  </w:p>
  <w:p w14:paraId="3BC80A5A" w14:textId="65C161FD" w:rsidR="00AC3255" w:rsidRDefault="00AC3255" w:rsidP="00402310">
    <w:pPr>
      <w:pStyle w:val="Header"/>
      <w:tabs>
        <w:tab w:val="clear" w:pos="4513"/>
        <w:tab w:val="clear" w:pos="9026"/>
        <w:tab w:val="right" w:pos="9639"/>
      </w:tabs>
      <w:jc w:val="center"/>
      <w:rPr>
        <w:rFonts w:ascii="Calibri Light" w:hAnsi="Calibri Light"/>
        <w:b/>
        <w:sz w:val="21"/>
        <w:szCs w:val="21"/>
      </w:rPr>
    </w:pPr>
    <w:r w:rsidRPr="00792634">
      <w:rPr>
        <w:rFonts w:ascii="Calibri Light" w:hAnsi="Calibri Light"/>
        <w:b/>
        <w:sz w:val="21"/>
        <w:szCs w:val="21"/>
      </w:rPr>
      <w:t>Barrister</w:t>
    </w:r>
  </w:p>
  <w:p w14:paraId="407447CE" w14:textId="62D5E10E" w:rsidR="002F13D8" w:rsidRPr="002F13D8" w:rsidRDefault="002F13D8" w:rsidP="002F13D8">
    <w:pPr>
      <w:pStyle w:val="Header"/>
      <w:tabs>
        <w:tab w:val="clear" w:pos="4513"/>
        <w:tab w:val="clear" w:pos="9026"/>
        <w:tab w:val="right" w:pos="9639"/>
      </w:tabs>
      <w:jc w:val="left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6DB4"/>
    <w:multiLevelType w:val="hybridMultilevel"/>
    <w:tmpl w:val="ACA004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841DF8"/>
    <w:multiLevelType w:val="hybridMultilevel"/>
    <w:tmpl w:val="B65A52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11C21"/>
    <w:multiLevelType w:val="hybridMultilevel"/>
    <w:tmpl w:val="8E6890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44334"/>
    <w:multiLevelType w:val="hybridMultilevel"/>
    <w:tmpl w:val="34A050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749671">
    <w:abstractNumId w:val="3"/>
  </w:num>
  <w:num w:numId="2" w16cid:durableId="1669941501">
    <w:abstractNumId w:val="1"/>
  </w:num>
  <w:num w:numId="3" w16cid:durableId="351566617">
    <w:abstractNumId w:val="0"/>
  </w:num>
  <w:num w:numId="4" w16cid:durableId="90965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E"/>
    <w:rsid w:val="00007392"/>
    <w:rsid w:val="000165BB"/>
    <w:rsid w:val="0002196A"/>
    <w:rsid w:val="00025343"/>
    <w:rsid w:val="000306A3"/>
    <w:rsid w:val="00032ABD"/>
    <w:rsid w:val="000547E0"/>
    <w:rsid w:val="000A7894"/>
    <w:rsid w:val="000D718E"/>
    <w:rsid w:val="000E6741"/>
    <w:rsid w:val="00112047"/>
    <w:rsid w:val="00126BE4"/>
    <w:rsid w:val="00137AD2"/>
    <w:rsid w:val="001451E0"/>
    <w:rsid w:val="0015373D"/>
    <w:rsid w:val="0016270E"/>
    <w:rsid w:val="00164E7F"/>
    <w:rsid w:val="001A000E"/>
    <w:rsid w:val="001C1A1F"/>
    <w:rsid w:val="001E31B0"/>
    <w:rsid w:val="002178ED"/>
    <w:rsid w:val="00217CAF"/>
    <w:rsid w:val="0022171B"/>
    <w:rsid w:val="00223F77"/>
    <w:rsid w:val="00234827"/>
    <w:rsid w:val="0029010E"/>
    <w:rsid w:val="00295260"/>
    <w:rsid w:val="002B52DC"/>
    <w:rsid w:val="002D363D"/>
    <w:rsid w:val="002D42DC"/>
    <w:rsid w:val="002E34D6"/>
    <w:rsid w:val="002F13D8"/>
    <w:rsid w:val="0031449F"/>
    <w:rsid w:val="00317790"/>
    <w:rsid w:val="00342914"/>
    <w:rsid w:val="00362D67"/>
    <w:rsid w:val="00384714"/>
    <w:rsid w:val="003B1B7B"/>
    <w:rsid w:val="003E4A26"/>
    <w:rsid w:val="00413AC7"/>
    <w:rsid w:val="00430067"/>
    <w:rsid w:val="00430AB0"/>
    <w:rsid w:val="004470A0"/>
    <w:rsid w:val="00453FB7"/>
    <w:rsid w:val="00454510"/>
    <w:rsid w:val="00455890"/>
    <w:rsid w:val="004567DA"/>
    <w:rsid w:val="004753E1"/>
    <w:rsid w:val="00477F1E"/>
    <w:rsid w:val="004970BF"/>
    <w:rsid w:val="004A2B46"/>
    <w:rsid w:val="004B3E03"/>
    <w:rsid w:val="004C3B45"/>
    <w:rsid w:val="004E7C08"/>
    <w:rsid w:val="005160BE"/>
    <w:rsid w:val="005207B6"/>
    <w:rsid w:val="00544231"/>
    <w:rsid w:val="005549A7"/>
    <w:rsid w:val="00581E57"/>
    <w:rsid w:val="005E7FDB"/>
    <w:rsid w:val="005F089C"/>
    <w:rsid w:val="00652242"/>
    <w:rsid w:val="006806A6"/>
    <w:rsid w:val="00682332"/>
    <w:rsid w:val="00690EA0"/>
    <w:rsid w:val="006B4DB1"/>
    <w:rsid w:val="006C4980"/>
    <w:rsid w:val="006E6009"/>
    <w:rsid w:val="00744BD9"/>
    <w:rsid w:val="00777F3D"/>
    <w:rsid w:val="007861D7"/>
    <w:rsid w:val="00787EDE"/>
    <w:rsid w:val="007C2FB4"/>
    <w:rsid w:val="007D3BC7"/>
    <w:rsid w:val="007E46EA"/>
    <w:rsid w:val="007F69B5"/>
    <w:rsid w:val="007F741E"/>
    <w:rsid w:val="00834082"/>
    <w:rsid w:val="00851EC5"/>
    <w:rsid w:val="008568ED"/>
    <w:rsid w:val="00865DCE"/>
    <w:rsid w:val="0089352A"/>
    <w:rsid w:val="008A54FD"/>
    <w:rsid w:val="008B23EF"/>
    <w:rsid w:val="008E6DB4"/>
    <w:rsid w:val="0091714C"/>
    <w:rsid w:val="00970560"/>
    <w:rsid w:val="00995ACC"/>
    <w:rsid w:val="009A33B7"/>
    <w:rsid w:val="009D155E"/>
    <w:rsid w:val="009D34BD"/>
    <w:rsid w:val="009D5045"/>
    <w:rsid w:val="009D5EC6"/>
    <w:rsid w:val="009F11F3"/>
    <w:rsid w:val="009F21D1"/>
    <w:rsid w:val="00A075E2"/>
    <w:rsid w:val="00A13C3B"/>
    <w:rsid w:val="00A6146F"/>
    <w:rsid w:val="00A63430"/>
    <w:rsid w:val="00A737DC"/>
    <w:rsid w:val="00A7644F"/>
    <w:rsid w:val="00A84467"/>
    <w:rsid w:val="00AC3255"/>
    <w:rsid w:val="00AE1363"/>
    <w:rsid w:val="00AE276C"/>
    <w:rsid w:val="00B055AF"/>
    <w:rsid w:val="00B34698"/>
    <w:rsid w:val="00B86C13"/>
    <w:rsid w:val="00B97339"/>
    <w:rsid w:val="00BA3234"/>
    <w:rsid w:val="00BA5DC2"/>
    <w:rsid w:val="00BC04F8"/>
    <w:rsid w:val="00BD13F0"/>
    <w:rsid w:val="00BD38B7"/>
    <w:rsid w:val="00BD63EF"/>
    <w:rsid w:val="00BF0F41"/>
    <w:rsid w:val="00C101D9"/>
    <w:rsid w:val="00C52A3D"/>
    <w:rsid w:val="00C633F4"/>
    <w:rsid w:val="00CE5F5E"/>
    <w:rsid w:val="00D1479B"/>
    <w:rsid w:val="00D41305"/>
    <w:rsid w:val="00DA35B0"/>
    <w:rsid w:val="00DB2EF4"/>
    <w:rsid w:val="00DB301C"/>
    <w:rsid w:val="00DF0252"/>
    <w:rsid w:val="00E03A20"/>
    <w:rsid w:val="00E07921"/>
    <w:rsid w:val="00EA18B8"/>
    <w:rsid w:val="00EB1C10"/>
    <w:rsid w:val="00EE0ED0"/>
    <w:rsid w:val="00EE45F4"/>
    <w:rsid w:val="00EE70D3"/>
    <w:rsid w:val="00EF5D30"/>
    <w:rsid w:val="00F11B8C"/>
    <w:rsid w:val="00F33E68"/>
    <w:rsid w:val="00F36D0F"/>
    <w:rsid w:val="00F61B38"/>
    <w:rsid w:val="00F67D30"/>
    <w:rsid w:val="00F73176"/>
    <w:rsid w:val="00F85243"/>
    <w:rsid w:val="00F86711"/>
    <w:rsid w:val="00F9021F"/>
    <w:rsid w:val="00FB0481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F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010E"/>
    <w:pPr>
      <w:jc w:val="both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10E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29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10E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29010E"/>
    <w:pPr>
      <w:ind w:left="720"/>
      <w:contextualSpacing/>
    </w:pPr>
  </w:style>
  <w:style w:type="table" w:styleId="TableGrid">
    <w:name w:val="Table Grid"/>
    <w:basedOn w:val="TableNormal"/>
    <w:uiPriority w:val="59"/>
    <w:rsid w:val="00290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A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2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E6DB4"/>
    <w:pPr>
      <w:spacing w:after="0" w:line="240" w:lineRule="auto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CCEB6-277E-974C-ABC3-6C259B43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 Ferraro</cp:lastModifiedBy>
  <cp:revision>3</cp:revision>
  <cp:lastPrinted>2022-09-30T06:22:00Z</cp:lastPrinted>
  <dcterms:created xsi:type="dcterms:W3CDTF">2023-08-15T01:24:00Z</dcterms:created>
  <dcterms:modified xsi:type="dcterms:W3CDTF">2023-08-15T01:24:00Z</dcterms:modified>
</cp:coreProperties>
</file>